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72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July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721"/>
            <w:bookmarkEnd w:id="6"/>
            <w:r>
              <w:rPr>
                <w:rFonts w:ascii="Times New Roman;Times;Serif" w:hAnsi="Times New Roman;Times;Serif"/>
                <w:b/>
                <w:i w:val="false"/>
                <w:caps w:val="false"/>
                <w:smallCaps w:val="false"/>
                <w:sz w:val="20"/>
              </w:rPr>
              <w:t>000-19871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175 Derby St., </w:t>
      </w:r>
      <w:bookmarkStart w:id="9" w:name="xdx_903_edei--EntityAddressAddressLine2_"/>
      <w:bookmarkEnd w:id="9"/>
      <w:r>
        <w:rPr>
          <w:rFonts w:ascii="Times New Roman;Times;Serif" w:hAnsi="Times New Roman;Times;Serif"/>
          <w:b/>
          <w:i w:val="false"/>
          <w:caps w:val="false"/>
          <w:smallCaps w:val="false"/>
          <w:sz w:val="20"/>
        </w:rPr>
        <w:t>Bld. 27</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Hingham, </w:t>
      </w:r>
      <w:bookmarkStart w:id="11" w:name="xdx_903_edei--EntityAddressStateOrProvin"/>
      <w:bookmarkEnd w:id="11"/>
      <w:r>
        <w:rPr>
          <w:rFonts w:ascii="Times New Roman;Times;Serif" w:hAnsi="Times New Roman;Times;Serif"/>
          <w:b/>
          <w:i w:val="false"/>
          <w:caps w:val="false"/>
          <w:smallCaps w:val="false"/>
          <w:sz w:val="20"/>
        </w:rPr>
        <w:t xml:space="preserve">MA </w:t>
      </w:r>
      <w:bookmarkStart w:id="12" w:name="xdx_90D_edei--EntityAddressPostalZipCode"/>
      <w:bookmarkEnd w:id="12"/>
      <w:r>
        <w:rPr>
          <w:rFonts w:ascii="Times New Roman;Times;Serif" w:hAnsi="Times New Roman;Times;Serif"/>
          <w:b/>
          <w:i w:val="false"/>
          <w:caps w:val="false"/>
          <w:smallCaps w:val="false"/>
          <w:sz w:val="20"/>
        </w:rPr>
        <w:t>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5_edei--CityAreaCode_c20260721__20"/>
      <w:bookmarkEnd w:id="13"/>
      <w:r>
        <w:rPr>
          <w:rFonts w:ascii="Times New Roman;Times;Serif" w:hAnsi="Times New Roman;Times;Serif"/>
          <w:b/>
          <w:i w:val="false"/>
          <w:caps w:val="false"/>
          <w:smallCaps w:val="false"/>
          <w:sz w:val="20"/>
        </w:rPr>
        <w:t xml:space="preserve">(781) </w:t>
      </w:r>
      <w:bookmarkStart w:id="14" w:name="xdx_909_edei--LocalPhoneNumber_c20260721"/>
      <w:bookmarkEnd w:id="14"/>
      <w:r>
        <w:rPr>
          <w:rFonts w:ascii="Times New Roman;Times;Serif" w:hAnsi="Times New Roman;Times;Serif"/>
          <w:b/>
          <w:i w:val="false"/>
          <w:caps w:val="false"/>
          <w:smallCaps w:val="false"/>
          <w:sz w:val="20"/>
        </w:rPr>
        <w:t>875-3605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9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1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5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7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Security12bTitle_c20260721"/>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60721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Microbot Medical Inc. (the “Company”) issued a press release announcing that Harel Gadot, the Company’s CEO, President and Chairman, will be participating at this year’s Society of Robotic Surgery (SRS) annual meeting, being held from July 23-26, 2026, in Fort Lauderdale, FL. He will present an overview of the endovascular robotic market and discuss emerging technologies in the peripheral vascular, neurovascular and cardiovascular spaces.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panel will be livestreamed at 10:25 am ET at: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https://srs2026.eventscribe.net/SearchByBucket.asp?pfp=Track&amp;bm=Plenary+3%3A+Novel+Robotic+Technologies+and+Applications+in+Digital+Surgery.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is furnished as Exhibit 99.1 to this Current Report on Form 8-K, and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21,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51890" cy="4343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1890" cy="43434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Among Featured Companies Showcasing Novel Robotic Technologies and Digital Surgery Applications at the Society of Robotic Surgery Annual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CEO has been a featured presenter at several recent industry events on the emergence of endovascular robotics as expert speaking opportunities raising profile of the Company throughout medtech market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HINGHAM, Mass., July 21, 2026</w:t>
      </w:r>
      <w:r>
        <w:rPr>
          <w:rFonts w:ascii="Times New Roman;Times;Serif" w:hAnsi="Times New Roman;Times;Serif"/>
          <w:b w:val="false"/>
          <w:i w:val="false"/>
          <w:caps w:val="false"/>
          <w:smallCaps w:val="false"/>
          <w:sz w:val="20"/>
        </w:rPr>
        <w:t xml:space="preserve"> — Microbot Medical Inc. (Nasdaq: MBOT), developer and distributor of the innovative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will be participating at this year’s Society of Robotic Surgery (SRS) annual meeting, being held from July 23-26, in Fort Lauderdale, FL. Last year’s meeting was the first time that endovascular robotics was featured at SRS, and with the Company’s FDA clearance less than a year ago and the growing adoption of the LIBERTY System at leading academic centers in the U.S. for a broad range of peripheral endovascular procedures, the Company believes the continued focus on this segment of the market underscores its increasing importance within the robotic surgery landscape.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panel session, titled: “Neurovascular Robotics,” will take place at 9:50 am ET on Saturday July 25th and will be moderated by Dr. Adnan Siddiqui, a University of Buffalo Distinguished Professor and Vice Chairman in the Department of Neurosurgery (UBNS) at the State University of New York at Buffalo’s Jacobs School of Medicine and Biomedical Sciences.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Harel Gadot, the Company’s, CEO, President and Chairman, will present an overview of the endovascular robotic market, which will be livestreamed at 10:25am ET at </w:t>
      </w:r>
      <w:r>
        <w:rPr>
          <w:rFonts w:ascii="Times New Roman;Times;Serif" w:hAnsi="Times New Roman;Times;Serif"/>
          <w:b w:val="false"/>
          <w:i w:val="false"/>
          <w:caps w:val="false"/>
          <w:smallCaps w:val="false"/>
          <w:sz w:val="20"/>
          <w:u w:val="single"/>
        </w:rPr>
        <w:t>https://srs2026.eventscribe.net/SearchByBucket.asp?pfp=Track&amp;bm=Plenary+3%3A+Novel+Robotic+Technologies+and+Applications+in+Digital+Surgery</w:t>
      </w:r>
      <w:r>
        <w:rPr>
          <w:rFonts w:ascii="Times New Roman;Times;Serif" w:hAnsi="Times New Roman;Times;Serif"/>
          <w:b w:val="false"/>
          <w:i w:val="false"/>
          <w:caps w:val="false"/>
          <w:smallCaps w:val="false"/>
          <w:sz w:val="20"/>
        </w:rPr>
        <w:t xml:space="preserve">. Mr. Gadot will be joined by representatives from other medical robotics companies to discuss emerging technologies in the peripheral vascular, neurovascular and cardiovascular spaces.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highlighting the uniqueness of the LIBERTY System, the Company recently won the Innovative Start-Up Award from Surgical Robotics Technology (SRT), which recognizes companies with outstanding technological and commercial progress through highly innovative, groundbreaking technologies with the potential for broad healthcare impact</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Microbot Medical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(NASDAQ: MBOT) is a commercial stage medical device company focused on transforming endovascular procedures through advanced robotic technology. Microbot’s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Learn more at </w:t>
      </w:r>
      <w:r>
        <w:rPr>
          <w:rFonts w:ascii="Times New Roman;Times;Serif" w:hAnsi="Times New Roman;Times;Serif"/>
          <w:b w:val="false"/>
          <w:i w:val="false"/>
          <w:caps w:val="false"/>
          <w:smallCaps w:val="false"/>
          <w:sz w:val="20"/>
          <w:u w:val="single"/>
        </w:rPr>
        <w:t>www.microbotmedical.com</w:t>
      </w:r>
      <w:r>
        <w:rPr>
          <w:rFonts w:ascii="Times New Roman;Times;Serif" w:hAnsi="Times New Roman;Times;Serif"/>
          <w:b w:val="false"/>
          <w:i w:val="false"/>
          <w:caps w:val="false"/>
          <w:smallCaps w:val="false"/>
          <w:sz w:val="20"/>
        </w:rPr>
        <w:t xml:space="preserve"> and connect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market conditions, risks inherent in the commercialization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and in the development of future versions of or applications for the system, uncertainty in the results of regulatory pathways and regulatory approvals, uncertainty resulting from political, social and geopolitical conditions, disruptions resulting from new and ongoing hostilities between Israel and the Palestinians, Iran and other neighboring countries, and maintenance of intellectual property rights. Additional information on risks facing Microbot Medical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can be found under the heading “Risk Factors” in Microbot Medical’s periodic reports filed with the Securities and Exchange Commission (SEC), which are available on the SEC’s web 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Microbot Medical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disclaims any intent or obligation to update these forward-looking statements,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IR@microbotmedical.com</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Media@microbotmedical.com</w:t>
      </w:r>
    </w:p>
    <w:p>
      <w:pPr>
        <w:pStyle w:val="TextBody"/>
        <w:bidi w:val="0"/>
        <w:spacing w:before="0" w:after="0"/>
        <w:ind w:left="0" w:right="0" w:hanging="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https://www.surgicalroboticstechnology.com/surgical-robotics-industry-awards/categories/</w:t>
            </w:r>
          </w:p>
        </w:tc>
      </w:tr>
    </w:tbl>
    <w:p>
      <w:pPr>
        <w:pStyle w:val="TextBody"/>
        <w:bidi w:val="0"/>
        <w:spacing w:before="0" w:after="0"/>
        <w:ind w:left="720" w:right="0" w:hanging="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72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1196</Words>
  <Characters>7415</Characters>
  <CharactersWithSpaces>8616</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