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06"/>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175 Derby St., </w:t>
      </w:r>
      <w:bookmarkStart w:id="9" w:name="xdx_906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Hingham, </w:t>
      </w:r>
      <w:bookmarkStart w:id="11" w:name="xdx_90E_edei--EntityAddressStateOrProvin"/>
      <w:bookmarkEnd w:id="11"/>
      <w:r>
        <w:rPr>
          <w:rFonts w:ascii="Times New Roman;Times;Serif" w:hAnsi="Times New Roman;Times;Serif"/>
          <w:b/>
          <w:i w:val="false"/>
          <w:caps w:val="false"/>
          <w:smallCaps w:val="false"/>
          <w:sz w:val="20"/>
        </w:rPr>
        <w:t xml:space="preserve">MA </w:t>
      </w:r>
      <w:bookmarkStart w:id="12" w:name="xdx_908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2_edei--CityAreaCode_c20260806__20"/>
      <w:bookmarkEnd w:id="13"/>
      <w:r>
        <w:rPr>
          <w:rFonts w:ascii="Times New Roman;Times;Serif" w:hAnsi="Times New Roman;Times;Serif"/>
          <w:b/>
          <w:i w:val="false"/>
          <w:caps w:val="false"/>
          <w:smallCaps w:val="false"/>
          <w:sz w:val="20"/>
        </w:rPr>
        <w:t xml:space="preserve">(781) </w:t>
      </w:r>
      <w:bookmarkStart w:id="14" w:name="xdx_903_edei--LocalPhoneNumber_c20260806"/>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C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A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806"/>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60806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5.02 below is incorporated herein by reference into this Item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Principal Officers; Election of Directors; Appointment of Principal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Microbot Medical Inc. (the “Company”) entered into Addendum #4 to Employment Agreement (the “Addendum”), with Rachel Vaknin, the Company’s Chief Financial Officer, to increase Ms. Vaknin’s annual base salary to NIS 864,000 (the equivalent of $288,000 at a presumed 3:1 exchange rate of NIS to US Dollar), commencing as of August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Addendum is attached as Exhibit 10.1 to this Current Report on Form 8-K. The description of the terms of the Addendum is not intended to be complete and is qualified in its entirety by reference to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Addendum #4 to Employment Agreement with Rachel Vaknin</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07,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9050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#4 TO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and entered into as of August 6,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514519412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6 Hayozma Street, Yokneam Illit, 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t>
      </w:r>
      <w:r>
        <w:rPr>
          <w:rFonts w:ascii="Times New Roman;Times;Serif" w:hAnsi="Times New Roman;Times;Serif"/>
          <w:b w:val="false"/>
          <w:i w:val="false"/>
          <w:caps w:val="false"/>
          <w:smallCaps w:val="false"/>
          <w:sz w:val="20"/>
          <w:u w:val="single"/>
        </w:rPr>
        <w:t>of the first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I.D no. 35883685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of the second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Employee is employed by the Company in accordance with that certain employment agreement dated on November 22, 2021, and any addendum thereto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and the Employee have agreed to amend certain terms of the Employee’s Employment Agreement effective as of the date hereof, and wish to set forth in writing said understanding;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w:t>
      </w:r>
      <w:r>
        <w:rPr>
          <w:rFonts w:ascii="Times New Roman;Times;Serif" w:hAnsi="Times New Roman;Times;Serif"/>
          <w:b w:val="false"/>
          <w:i w:val="false"/>
          <w:caps w:val="false"/>
          <w:smallCaps w:val="false"/>
          <w:sz w:val="20"/>
        </w:rPr>
        <w:t>the Parties hereby agree, declare and covenant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Effective as of August 1, 2026, the Employee’s gross annual base salary shall be increased to a gross amount of NIS 864,000 (the annual base salary includes both the Base Salary and Overtime Pay, as defined in the Employee’s Employment Agreement). During the term of the Employment Agreement, the compensation committee of the Board of Directors, or, if there be no such compensation committee, the entire Board of Directors (in either case, the “Compensation Committee”), shall review the Employee’s base salary on an annual basis and may provide for such increases thereto as it may determine, taking into account such performance metrics and criteria of the Employee and of the Company in the Compensation Committee’s sole discretion, without further amendment or addendum to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Employee shall be granted a special bonus for the first fiscal half of 2026, in the amount of $21,000 (or the NIS equivalent thereof), which, although not constitute salary, shall be taken into account for the purpose of calculating social benefits therefor (i.e., pension and severance contribution and Study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Capitalized terms used herein, unless otherwise defined, shall have the meanings ascribed to them in the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This Addendum contains the entire agreement between the parties hereto with respect to the subject matter hereof, supersedes and cancels all prior agreements, arrangements and understandings, written or oral, relating to the subject matter hereof, if any. In any event of contradiction between the provisions of this Addendum and any prior agreement, whether written or oral, the provisions of this Addendum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This Addendum may be amended, modified, superseded, canceled, renewed or extended, and the terms and covenants hereof may be waived, only by a written instrument executed by both parties. A waiver of any term or condition of this Addendum may be effected only by a written instrument executed by the party waiving compliance. The failure of any party, at any time or times, to require performance of any provision of this Addendum shall in no manner affect the right of such party, at a later time, to enforce the same. No waiver by any party of the breach of any term or covenant, whether by conduct or otherwise, in any one or more instances, shall be deemed to be, or construed as, a further or continuing waiver of any breach, or a waiver of the breach of any other term or covenant.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Except to the extent otherwise specifically modified herein in this Addendum all of the terms and conditions of the Employment Agreement are hereby ratified, approved and confirmed and all such terms and conditions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90500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execute hereunder:</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28" w:type="dxa"/>
          <w:right w:w="0" w:type="dxa"/>
        </w:tblCellMar>
      </w:tblPr>
      <w:tblGrid>
        <w:gridCol w:w="1955"/>
        <w:gridCol w:w="60"/>
        <w:gridCol w:w="1475"/>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Naama Moav</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1116</Words>
  <Characters>5952</Characters>
  <CharactersWithSpaces>7073</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