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6"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438785</wp:posOffset>
                </wp:positionH>
                <wp:positionV relativeFrom="page">
                  <wp:posOffset>808355</wp:posOffset>
                </wp:positionV>
                <wp:extent cx="689419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4763"/>
                        </a:xfrm>
                        <a:prstGeom prst="line">
                          <a:avLst/>
                        </a:prstGeom>
                        <a:solidFill>
                          <a:srgbClr val="FFFFFF"/>
                        </a:solidFill>
                        <a:ln w="5626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63.65pt" to="577.4pt,63.65pt" o:allowincell="f" strokecolor="#000000" strokeweight="4.4299pt">
                <w10:wrap anchorx="page" anchory="page"/>
              </v:line>
            </w:pict>
          </mc:Fallback>
        </mc:AlternateContent>
        <mc:AlternateContent>
          <mc:Choice Requires="wps">
            <w:drawing>
              <wp:anchor simplePos="0" relativeHeight="251657728" behindDoc="1" locked="0" layoutInCell="0" allowOverlap="1">
                <wp:simplePos x="0" y="0"/>
                <wp:positionH relativeFrom="page">
                  <wp:posOffset>438785</wp:posOffset>
                </wp:positionH>
                <wp:positionV relativeFrom="page">
                  <wp:posOffset>857885</wp:posOffset>
                </wp:positionV>
                <wp:extent cx="689419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19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5pt,67.55pt" to="577.4pt,67.55pt" o:allowincell="f" strokecolor="#000000" strokeweight="0.96pt">
                <w10:wrap anchorx="page" anchory="page"/>
              </v:line>
            </w:pict>
          </mc:Fallback>
        </mc:AlternateContent>
      </w:r>
    </w:p>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(Mark One)</w:t>
      </w:r>
    </w:p>
    <w:p>
      <w:pPr>
        <w:spacing w:after="0" w:line="227" w:lineRule="exact"/>
        <w:rPr>
          <w:sz w:val="24"/>
          <w:szCs w:val="24"/>
          <w:color w:val="auto"/>
        </w:rPr>
      </w:pPr>
    </w:p>
    <w:p>
      <w:pPr>
        <w:ind w:left="700" w:hanging="607"/>
        <w:spacing w:after="0"/>
        <w:tabs>
          <w:tab w:leader="none" w:pos="700" w:val="left"/>
        </w:tabs>
        <w:numPr>
          <w:ilvl w:val="0"/>
          <w:numId w:val="1"/>
        </w:numPr>
        <w:rPr>
          <w:rFonts w:ascii="Segoe UI" w:cs="Segoe UI" w:eastAsia="Segoe UI" w:hAnsi="Segoe UI"/>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231" w:lineRule="exact"/>
        <w:rPr>
          <w:sz w:val="24"/>
          <w:szCs w:val="24"/>
          <w:color w:val="auto"/>
        </w:rPr>
      </w:pPr>
    </w:p>
    <w:p>
      <w:pPr>
        <w:ind w:left="460" w:hanging="367"/>
        <w:spacing w:after="0"/>
        <w:tabs>
          <w:tab w:leader="none" w:pos="460" w:val="left"/>
        </w:tabs>
        <w:numPr>
          <w:ilvl w:val="0"/>
          <w:numId w:val="2"/>
        </w:numPr>
        <w:rPr>
          <w:rFonts w:ascii="Segoe UI" w:cs="Segoe UI" w:eastAsia="Segoe UI" w:hAnsi="Segoe UI"/>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3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 to _____</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000-19871</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MICROBOT MEDICAL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(Exact name of registrant as specified in its charter)</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5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5500" w:type="dxa"/>
            <w:vAlign w:val="bottom"/>
            <w:gridSpan w:val="2"/>
          </w:tcPr>
          <w:p>
            <w:pPr>
              <w:jc w:val="center"/>
              <w:ind w:left="120"/>
              <w:spacing w:after="0"/>
              <w:rPr>
                <w:sz w:val="20"/>
                <w:szCs w:val="20"/>
                <w:color w:val="auto"/>
              </w:rPr>
            </w:pPr>
            <w:r>
              <w:rPr>
                <w:rFonts w:ascii="Times New Roman" w:cs="Times New Roman" w:eastAsia="Times New Roman" w:hAnsi="Times New Roman"/>
                <w:sz w:val="20"/>
                <w:szCs w:val="20"/>
                <w:b w:val="1"/>
                <w:bCs w:val="1"/>
                <w:color w:val="auto"/>
                <w:w w:val="99"/>
              </w:rPr>
              <w:t>94-3078125</w:t>
            </w:r>
          </w:p>
        </w:tc>
      </w:tr>
      <w:tr>
        <w:trPr>
          <w:trHeight w:val="213"/>
        </w:trPr>
        <w:tc>
          <w:tcPr>
            <w:tcW w:w="5300" w:type="dxa"/>
            <w:vAlign w:val="bottom"/>
            <w:tcBorders>
              <w:top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i w:val="1"/>
                <w:iCs w:val="1"/>
                <w:color w:val="auto"/>
              </w:rPr>
              <w:t>(State or Other Jurisdiction</w:t>
            </w:r>
          </w:p>
        </w:tc>
        <w:tc>
          <w:tcPr>
            <w:tcW w:w="200" w:type="dxa"/>
            <w:vAlign w:val="bottom"/>
          </w:tcPr>
          <w:p>
            <w:pPr>
              <w:spacing w:after="0"/>
              <w:rPr>
                <w:sz w:val="18"/>
                <w:szCs w:val="18"/>
                <w:color w:val="auto"/>
              </w:rPr>
            </w:pPr>
          </w:p>
        </w:tc>
        <w:tc>
          <w:tcPr>
            <w:tcW w:w="5300" w:type="dxa"/>
            <w:vAlign w:val="bottom"/>
            <w:tcBorders>
              <w:top w:val="single" w:sz="8" w:color="auto"/>
            </w:tcBorders>
          </w:tcPr>
          <w:p>
            <w:pPr>
              <w:jc w:val="center"/>
              <w:spacing w:after="0" w:line="213" w:lineRule="exact"/>
              <w:rPr>
                <w:sz w:val="20"/>
                <w:szCs w:val="20"/>
                <w:color w:val="auto"/>
              </w:rPr>
            </w:pPr>
            <w:r>
              <w:rPr>
                <w:rFonts w:ascii="Times New Roman" w:cs="Times New Roman" w:eastAsia="Times New Roman" w:hAnsi="Times New Roman"/>
                <w:sz w:val="20"/>
                <w:szCs w:val="20"/>
                <w:i w:val="1"/>
                <w:iCs w:val="1"/>
                <w:color w:val="auto"/>
              </w:rPr>
              <w:t>(I.R.S. Employer</w:t>
            </w:r>
          </w:p>
        </w:tc>
      </w:tr>
      <w:tr>
        <w:trPr>
          <w:trHeight w:val="263"/>
        </w:trPr>
        <w:tc>
          <w:tcPr>
            <w:tcW w:w="530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of Incorporation or Organization)</w:t>
            </w:r>
          </w:p>
        </w:tc>
        <w:tc>
          <w:tcPr>
            <w:tcW w:w="200" w:type="dxa"/>
            <w:vAlign w:val="bottom"/>
          </w:tcPr>
          <w:p>
            <w:pPr>
              <w:spacing w:after="0"/>
              <w:rPr>
                <w:sz w:val="22"/>
                <w:szCs w:val="22"/>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rPr>
              <w:t>Identification No.)</w:t>
            </w:r>
          </w:p>
        </w:tc>
      </w:tr>
    </w:tbl>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175 Derby St., Bld. 27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Hingham, MA 02043</w:t>
      </w:r>
    </w:p>
    <w:p>
      <w:pPr>
        <w:jc w:val="center"/>
        <w:spacing w:after="0"/>
        <w:rPr>
          <w:sz w:val="20"/>
          <w:szCs w:val="20"/>
          <w:color w:val="auto"/>
        </w:rPr>
      </w:pPr>
      <w:r>
        <w:rPr>
          <w:rFonts w:ascii="Times New Roman" w:cs="Times New Roman" w:eastAsia="Times New Roman" w:hAnsi="Times New Roman"/>
          <w:sz w:val="20"/>
          <w:szCs w:val="20"/>
          <w:i w:val="1"/>
          <w:iCs w:val="1"/>
          <w:color w:val="auto"/>
        </w:rPr>
        <w:t>(Address including zip code of registrant’s Principal Executive Offices)</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(781) 875-3605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under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3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 of each class</w:t>
            </w:r>
          </w:p>
        </w:tc>
        <w:tc>
          <w:tcPr>
            <w:tcW w:w="220" w:type="dxa"/>
            <w:vAlign w:val="bottom"/>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Trading Symbol(s)</w:t>
            </w:r>
          </w:p>
        </w:tc>
        <w:tc>
          <w:tcPr>
            <w:tcW w:w="200" w:type="dxa"/>
            <w:vAlign w:val="bottom"/>
          </w:tcPr>
          <w:p>
            <w:pPr>
              <w:spacing w:after="0"/>
              <w:rPr>
                <w:sz w:val="21"/>
                <w:szCs w:val="21"/>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 of each exchange on which registered</w:t>
            </w:r>
          </w:p>
        </w:tc>
      </w:tr>
      <w:tr>
        <w:trPr>
          <w:trHeight w:val="264"/>
        </w:trPr>
        <w:tc>
          <w:tcPr>
            <w:tcW w:w="3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Common Stock, Par value $0.01</w:t>
            </w:r>
          </w:p>
        </w:tc>
        <w:tc>
          <w:tcPr>
            <w:tcW w:w="22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MBOT</w:t>
            </w:r>
          </w:p>
        </w:tc>
        <w:tc>
          <w:tcPr>
            <w:tcW w:w="200" w:type="dxa"/>
            <w:vAlign w:val="bottom"/>
          </w:tcPr>
          <w:p>
            <w:pPr>
              <w:spacing w:after="0"/>
              <w:rPr>
                <w:sz w:val="23"/>
                <w:szCs w:val="23"/>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NASDAQ Capital Market</w:t>
            </w:r>
          </w:p>
        </w:tc>
      </w:tr>
    </w:tbl>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under Section 12(g) of the Act: None</w:t>
      </w:r>
    </w:p>
    <w:p>
      <w:pPr>
        <w:spacing w:after="0" w:line="172" w:lineRule="exact"/>
        <w:rPr>
          <w:sz w:val="24"/>
          <w:szCs w:val="24"/>
          <w:color w:val="auto"/>
        </w:rPr>
      </w:pPr>
    </w:p>
    <w:p>
      <w:pPr>
        <w:ind w:right="120"/>
        <w:spacing w:after="0" w:line="475"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ց</w:t>
      </w:r>
      <w:r>
        <w:rPr>
          <w:rFonts w:ascii="Times New Roman" w:cs="Times New Roman" w:eastAsia="Times New Roman" w:hAnsi="Times New Roman"/>
          <w:sz w:val="20"/>
          <w:szCs w:val="20"/>
          <w:color w:val="auto"/>
        </w:rPr>
        <w:t xml:space="preserve"> Indicate by check mark if the registrant is not required to file reports pursuant to Section 13 or Section 15(d) of the Act. Yes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ց</w:t>
      </w:r>
    </w:p>
    <w:p>
      <w:pPr>
        <w:spacing w:after="0" w:line="1"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and (2) has been subject to such filing requirements for the past 90 days. Yes </w:t>
      </w:r>
      <w:r>
        <w:rPr>
          <w:rFonts w:ascii="Segoe UI" w:cs="Segoe UI" w:eastAsia="Segoe UI" w:hAnsi="Segoe UI"/>
          <w:sz w:val="20"/>
          <w:szCs w:val="20"/>
          <w:color w:val="auto"/>
        </w:rPr>
        <w:t>ց</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տ</w:t>
      </w:r>
    </w:p>
    <w:p>
      <w:pPr>
        <w:spacing w:after="0" w:line="209"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was required to submit such files). Yes </w:t>
      </w:r>
      <w:r>
        <w:rPr>
          <w:rFonts w:ascii="Segoe UI" w:cs="Segoe UI" w:eastAsia="Segoe UI" w:hAnsi="Segoe UI"/>
          <w:sz w:val="20"/>
          <w:szCs w:val="20"/>
          <w:color w:val="auto"/>
        </w:rPr>
        <w:t>ց</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տ</w:t>
      </w:r>
    </w:p>
    <w:p>
      <w:pPr>
        <w:sectPr>
          <w:pgSz w:w="12240" w:h="15840" w:orient="portrait"/>
          <w:cols w:equalWidth="0" w:num="1">
            <w:col w:w="10800"/>
          </w:cols>
          <w:pgMar w:left="720" w:top="1440" w:right="720" w:bottom="1148" w:gutter="0" w:footer="0" w:header="0"/>
        </w:sectPr>
      </w:pPr>
    </w:p>
    <w:bookmarkStart w:id="1" w:name="page2"/>
    <w:bookmarkEnd w:id="1"/>
    <w:p>
      <w:pPr>
        <w:jc w:val="both"/>
        <w:spacing w:after="0" w:line="257"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10800"/>
          </w:cols>
          <w:pgMar w:left="720" w:top="977" w:right="720" w:bottom="1440" w:gutter="0" w:footer="0" w:header="0"/>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Large accelerated filer </w:t>
      </w:r>
      <w:r>
        <w:rPr>
          <w:rFonts w:ascii="Segoe UI" w:cs="Segoe UI" w:eastAsia="Segoe UI" w:hAnsi="Segoe UI"/>
          <w:sz w:val="20"/>
          <w:szCs w:val="20"/>
          <w:color w:val="auto"/>
        </w:rPr>
        <w:t>տ</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Accelerated filer </w:t>
      </w:r>
      <w:r>
        <w:rPr>
          <w:rFonts w:ascii="Segoe UI" w:cs="Segoe UI" w:eastAsia="Segoe UI" w:hAnsi="Segoe UI"/>
          <w:sz w:val="20"/>
          <w:szCs w:val="20"/>
          <w:color w:val="auto"/>
        </w:rPr>
        <w:t>տ</w:t>
      </w:r>
    </w:p>
    <w:p>
      <w:pPr>
        <w:spacing w:after="0" w:line="120" w:lineRule="exact"/>
        <w:rPr>
          <w:sz w:val="20"/>
          <w:szCs w:val="20"/>
          <w:color w:val="auto"/>
        </w:rPr>
      </w:pPr>
    </w:p>
    <w:p>
      <w:pPr>
        <w:sectPr>
          <w:pgSz w:w="12240" w:h="15840" w:orient="portrait"/>
          <w:cols w:equalWidth="0" w:num="2">
            <w:col w:w="4680" w:space="720"/>
            <w:col w:w="5400"/>
          </w:cols>
          <w:pgMar w:left="720" w:top="977" w:right="720" w:bottom="1440" w:gutter="0" w:footer="0" w:header="0"/>
          <w:type w:val="continuous"/>
        </w:sectPr>
      </w:pP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Non-accelerated filer </w:t>
      </w:r>
      <w:r>
        <w:rPr>
          <w:rFonts w:ascii="Segoe UI" w:cs="Segoe UI" w:eastAsia="Segoe UI" w:hAnsi="Segoe UI"/>
          <w:sz w:val="20"/>
          <w:szCs w:val="20"/>
          <w:color w:val="auto"/>
        </w:rPr>
        <w:t>ց</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 xml:space="preserve">Smaller reporting company </w:t>
      </w:r>
      <w:r>
        <w:rPr>
          <w:rFonts w:ascii="Segoe UI" w:cs="Segoe UI" w:eastAsia="Segoe UI" w:hAnsi="Segoe UI"/>
          <w:sz w:val="20"/>
          <w:szCs w:val="20"/>
          <w:color w:val="auto"/>
        </w:rPr>
        <w:t>ց</w:t>
      </w:r>
    </w:p>
    <w:p>
      <w:pPr>
        <w:spacing w:after="0"/>
        <w:rPr>
          <w:sz w:val="20"/>
          <w:szCs w:val="20"/>
          <w:color w:val="auto"/>
        </w:rPr>
      </w:pPr>
      <w:r>
        <w:rPr>
          <w:rFonts w:ascii="Times New Roman" w:cs="Times New Roman" w:eastAsia="Times New Roman" w:hAnsi="Times New Roman"/>
          <w:sz w:val="20"/>
          <w:szCs w:val="20"/>
          <w:color w:val="auto"/>
        </w:rPr>
        <w:t xml:space="preserve">Emerging Growth Company </w:t>
      </w:r>
      <w:r>
        <w:rPr>
          <w:rFonts w:ascii="Segoe UI" w:cs="Segoe UI" w:eastAsia="Segoe UI" w:hAnsi="Segoe UI"/>
          <w:sz w:val="20"/>
          <w:szCs w:val="20"/>
          <w:color w:val="auto"/>
        </w:rPr>
        <w:t>տ</w:t>
      </w:r>
    </w:p>
    <w:p>
      <w:pPr>
        <w:spacing w:after="0" w:line="172" w:lineRule="exact"/>
        <w:rPr>
          <w:sz w:val="20"/>
          <w:szCs w:val="20"/>
          <w:color w:val="auto"/>
        </w:rPr>
      </w:pPr>
    </w:p>
    <w:p>
      <w:pPr>
        <w:sectPr>
          <w:pgSz w:w="12240" w:h="15840" w:orient="portrait"/>
          <w:cols w:equalWidth="0" w:num="2">
            <w:col w:w="4680" w:space="720"/>
            <w:col w:w="5400"/>
          </w:cols>
          <w:pgMar w:left="720" w:top="977" w:right="720" w:bottom="1440" w:gutter="0" w:footer="0" w:header="0"/>
          <w:type w:val="continuous"/>
        </w:sectPr>
      </w:pPr>
    </w:p>
    <w:p>
      <w:pPr>
        <w:jc w:val="both"/>
        <w:spacing w:after="0" w:line="351" w:lineRule="auto"/>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20"/>
          <w:szCs w:val="20"/>
          <w:color w:val="auto"/>
        </w:rPr>
        <w:t>տ</w:t>
      </w:r>
    </w:p>
    <w:p>
      <w:pPr>
        <w:spacing w:after="0" w:line="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public accounting firm that prepared or issued its audit report. </w:t>
      </w:r>
      <w:r>
        <w:rPr>
          <w:rFonts w:ascii="Segoe UI" w:cs="Segoe UI" w:eastAsia="Segoe UI" w:hAnsi="Segoe UI"/>
          <w:sz w:val="20"/>
          <w:szCs w:val="20"/>
          <w:color w:val="auto"/>
        </w:rPr>
        <w:t>տ</w:t>
      </w:r>
    </w:p>
    <w:p>
      <w:pPr>
        <w:spacing w:after="0" w:line="209" w:lineRule="exact"/>
        <w:rPr>
          <w:sz w:val="20"/>
          <w:szCs w:val="20"/>
          <w:color w:val="auto"/>
        </w:rPr>
      </w:pPr>
    </w:p>
    <w:p>
      <w:pPr>
        <w:jc w:val="both"/>
        <w:spacing w:after="0" w:line="351" w:lineRule="auto"/>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20"/>
          <w:szCs w:val="20"/>
          <w:color w:val="auto"/>
        </w:rPr>
        <w:t>տ</w:t>
      </w:r>
    </w:p>
    <w:p>
      <w:pPr>
        <w:spacing w:after="0" w:line="2" w:lineRule="exact"/>
        <w:rPr>
          <w:sz w:val="20"/>
          <w:szCs w:val="20"/>
          <w:color w:val="auto"/>
        </w:rPr>
      </w:pPr>
    </w:p>
    <w:p>
      <w:pPr>
        <w:jc w:val="both"/>
        <w:spacing w:after="0" w:line="320" w:lineRule="auto"/>
        <w:rPr>
          <w:sz w:val="20"/>
          <w:szCs w:val="20"/>
          <w:color w:val="auto"/>
        </w:rPr>
      </w:pPr>
      <w:r>
        <w:rPr>
          <w:rFonts w:ascii="Times New Roman" w:cs="Times New Roman" w:eastAsia="Times New Roman" w:hAnsi="Times New Roman"/>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20"/>
          <w:szCs w:val="20"/>
          <w:color w:val="auto"/>
        </w:rPr>
        <w:t>տ</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Exchange Act). Yes </w:t>
      </w:r>
      <w:r>
        <w:rPr>
          <w:rFonts w:ascii="Segoe UI" w:cs="Segoe UI" w:eastAsia="Segoe UI" w:hAnsi="Segoe UI"/>
          <w:sz w:val="20"/>
          <w:szCs w:val="20"/>
          <w:color w:val="auto"/>
        </w:rPr>
        <w:t>տ</w:t>
      </w:r>
      <w:r>
        <w:rPr>
          <w:rFonts w:ascii="Times New Roman" w:cs="Times New Roman" w:eastAsia="Times New Roman" w:hAnsi="Times New Roman"/>
          <w:sz w:val="20"/>
          <w:szCs w:val="20"/>
          <w:color w:val="auto"/>
        </w:rPr>
        <w:t xml:space="preserve"> No </w:t>
      </w:r>
      <w:r>
        <w:rPr>
          <w:rFonts w:ascii="Segoe UI" w:cs="Segoe UI" w:eastAsia="Segoe UI" w:hAnsi="Segoe UI"/>
          <w:sz w:val="20"/>
          <w:szCs w:val="20"/>
          <w:color w:val="auto"/>
        </w:rPr>
        <w:t>ց</w:t>
      </w:r>
    </w:p>
    <w:p>
      <w:pPr>
        <w:spacing w:after="0" w:line="2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approximately $95,655,000.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Common stock outstanding as of March 24, 2026: 67,158,044 shares</w:t>
      </w:r>
    </w:p>
    <w:p>
      <w:pPr>
        <w:sectPr>
          <w:pgSz w:w="12240" w:h="15840" w:orient="portrait"/>
          <w:cols w:equalWidth="0" w:num="1">
            <w:col w:w="10800"/>
          </w:cols>
          <w:pgMar w:left="720" w:top="977" w:right="720"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INFORMATION CONCERNING FORWARD-LOOKING STATEMENTS</w:t>
      </w:r>
    </w:p>
    <w:p>
      <w:pPr>
        <w:spacing w:after="0" w:line="2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This report contains forward-looking statements. Forward-looking statements are projections in respect of future events or our future financial performance. In some cases, you can identify forward-looking statements by terminology such as “may”, “should”, “intends”, “expects”, “will”, “plans”, “anticipates”, “believes”, “estimates”, “predicts”, “potential”, or “continue” or the negative of these terms or other comparable terminology. These statements are only predictions and involve known and unknown risks, uncertainties and other factors, including the risks listed under the section entitled “Risk Factors” commencing on page 13 of this report, which may cause our or our industry’s actual results, levels of activity or performance to be materially different from any future results, levels of activity or performance expressed or implied by these forward-looking statements.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00" w:type="dxa"/>
            <w:vAlign w:val="bottom"/>
          </w:tcPr>
          <w:p>
            <w:pPr>
              <w:spacing w:after="0"/>
              <w:rPr>
                <w:sz w:val="23"/>
                <w:szCs w:val="23"/>
                <w:color w:val="auto"/>
              </w:rPr>
            </w:pPr>
          </w:p>
        </w:tc>
        <w:tc>
          <w:tcPr>
            <w:tcW w:w="9380" w:type="dxa"/>
            <w:vAlign w:val="bottom"/>
          </w:tcPr>
          <w:p>
            <w:pPr>
              <w:ind w:left="39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0"/>
        </w:trPr>
        <w:tc>
          <w:tcPr>
            <w:tcW w:w="700" w:type="dxa"/>
            <w:vAlign w:val="bottom"/>
          </w:tcPr>
          <w:p>
            <w:pPr>
              <w:spacing w:after="0"/>
              <w:rPr>
                <w:sz w:val="24"/>
                <w:szCs w:val="24"/>
                <w:color w:val="auto"/>
              </w:rPr>
            </w:pPr>
          </w:p>
        </w:tc>
        <w:tc>
          <w:tcPr>
            <w:tcW w:w="9380" w:type="dxa"/>
            <w:vAlign w:val="bottom"/>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8"/>
              </w:rPr>
              <w:t>PART I</w:t>
            </w: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11"/>
        </w:trPr>
        <w:tc>
          <w:tcPr>
            <w:tcW w:w="700" w:type="dxa"/>
            <w:vAlign w:val="bottom"/>
          </w:tcPr>
          <w:p>
            <w:pPr>
              <w:spacing w:after="0"/>
              <w:rPr>
                <w:sz w:val="18"/>
                <w:szCs w:val="18"/>
                <w:color w:val="auto"/>
              </w:rPr>
            </w:pPr>
          </w:p>
        </w:tc>
        <w:tc>
          <w:tcPr>
            <w:tcW w:w="938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Item 1.</w:t>
            </w:r>
          </w:p>
        </w:tc>
        <w:tc>
          <w:tcPr>
            <w:tcW w:w="938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rPr>
              <w:t>Business</w:t>
            </w:r>
          </w:p>
        </w:tc>
        <w:tc>
          <w:tcPr>
            <w:tcW w:w="7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1</w:t>
            </w:r>
          </w:p>
        </w:tc>
        <w:tc>
          <w:tcPr>
            <w:tcW w:w="0" w:type="dxa"/>
            <w:vAlign w:val="bottom"/>
          </w:tcPr>
          <w:p>
            <w:pPr>
              <w:spacing w:after="0"/>
              <w:rPr>
                <w:sz w:val="1"/>
                <w:szCs w:val="1"/>
                <w:color w:val="auto"/>
              </w:rPr>
            </w:pPr>
          </w:p>
        </w:tc>
      </w:tr>
      <w:tr>
        <w:trPr>
          <w:trHeight w:val="231"/>
        </w:trPr>
        <w:tc>
          <w:tcPr>
            <w:tcW w:w="10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1A.Risk Factors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14</w:t>
            </w:r>
          </w:p>
        </w:tc>
        <w:tc>
          <w:tcPr>
            <w:tcW w:w="0" w:type="dxa"/>
            <w:vAlign w:val="bottom"/>
          </w:tcPr>
          <w:p>
            <w:pPr>
              <w:spacing w:after="0"/>
              <w:rPr>
                <w:sz w:val="1"/>
                <w:szCs w:val="1"/>
                <w:color w:val="auto"/>
              </w:rPr>
            </w:pPr>
          </w:p>
        </w:tc>
      </w:tr>
      <w:tr>
        <w:trPr>
          <w:trHeight w:val="230"/>
        </w:trPr>
        <w:tc>
          <w:tcPr>
            <w:tcW w:w="10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1B.Unresolved Staff Comments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32</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Item 1C</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Cybersecurity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32</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Description of Property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w:t>
            </w:r>
          </w:p>
        </w:tc>
        <w:tc>
          <w:tcPr>
            <w:tcW w:w="0" w:type="dxa"/>
            <w:vAlign w:val="bottom"/>
          </w:tcPr>
          <w:p>
            <w:pPr>
              <w:spacing w:after="0"/>
              <w:rPr>
                <w:sz w:val="1"/>
                <w:szCs w:val="1"/>
                <w:color w:val="auto"/>
              </w:rPr>
            </w:pPr>
          </w:p>
        </w:tc>
      </w:tr>
      <w:tr>
        <w:trPr>
          <w:trHeight w:val="228"/>
        </w:trPr>
        <w:tc>
          <w:tcPr>
            <w:tcW w:w="7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Item 3.</w:t>
            </w:r>
          </w:p>
        </w:tc>
        <w:tc>
          <w:tcPr>
            <w:tcW w:w="938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rPr>
              <w:t>Legal Proceedings</w:t>
            </w:r>
          </w:p>
        </w:tc>
        <w:tc>
          <w:tcPr>
            <w:tcW w:w="7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33</w:t>
            </w:r>
          </w:p>
        </w:tc>
        <w:tc>
          <w:tcPr>
            <w:tcW w:w="0" w:type="dxa"/>
            <w:vAlign w:val="bottom"/>
          </w:tcPr>
          <w:p>
            <w:pPr>
              <w:spacing w:after="0"/>
              <w:rPr>
                <w:sz w:val="1"/>
                <w:szCs w:val="1"/>
                <w:color w:val="auto"/>
              </w:rPr>
            </w:pPr>
          </w:p>
        </w:tc>
      </w:tr>
      <w:tr>
        <w:trPr>
          <w:trHeight w:val="265"/>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Mine Safety Disclosures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w:t>
            </w:r>
          </w:p>
        </w:tc>
        <w:tc>
          <w:tcPr>
            <w:tcW w:w="0" w:type="dxa"/>
            <w:vAlign w:val="bottom"/>
          </w:tcPr>
          <w:p>
            <w:pPr>
              <w:spacing w:after="0"/>
              <w:rPr>
                <w:sz w:val="1"/>
                <w:szCs w:val="1"/>
                <w:color w:val="auto"/>
              </w:rPr>
            </w:pPr>
          </w:p>
        </w:tc>
      </w:tr>
      <w:tr>
        <w:trPr>
          <w:trHeight w:val="426"/>
        </w:trPr>
        <w:tc>
          <w:tcPr>
            <w:tcW w:w="700" w:type="dxa"/>
            <w:vAlign w:val="bottom"/>
          </w:tcPr>
          <w:p>
            <w:pPr>
              <w:spacing w:after="0"/>
              <w:rPr>
                <w:sz w:val="24"/>
                <w:szCs w:val="24"/>
                <w:color w:val="auto"/>
              </w:rPr>
            </w:pPr>
          </w:p>
        </w:tc>
        <w:tc>
          <w:tcPr>
            <w:tcW w:w="93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rPr>
              <w:t>PART II</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 Securities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[Reserved]</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34</w:t>
            </w:r>
          </w:p>
        </w:tc>
        <w:tc>
          <w:tcPr>
            <w:tcW w:w="0" w:type="dxa"/>
            <w:vAlign w:val="bottom"/>
          </w:tcPr>
          <w:p>
            <w:pPr>
              <w:spacing w:after="0"/>
              <w:rPr>
                <w:sz w:val="1"/>
                <w:szCs w:val="1"/>
                <w:color w:val="auto"/>
              </w:rPr>
            </w:pPr>
          </w:p>
        </w:tc>
      </w:tr>
      <w:tr>
        <w:trPr>
          <w:trHeight w:val="228"/>
        </w:trPr>
        <w:tc>
          <w:tcPr>
            <w:tcW w:w="7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Item 7.</w:t>
            </w:r>
          </w:p>
        </w:tc>
        <w:tc>
          <w:tcPr>
            <w:tcW w:w="938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7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34</w:t>
            </w:r>
          </w:p>
        </w:tc>
        <w:tc>
          <w:tcPr>
            <w:tcW w:w="0" w:type="dxa"/>
            <w:vAlign w:val="bottom"/>
          </w:tcPr>
          <w:p>
            <w:pPr>
              <w:spacing w:after="0"/>
              <w:rPr>
                <w:sz w:val="1"/>
                <w:szCs w:val="1"/>
                <w:color w:val="auto"/>
              </w:rPr>
            </w:pPr>
          </w:p>
        </w:tc>
      </w:tr>
      <w:tr>
        <w:trPr>
          <w:trHeight w:val="230"/>
        </w:trPr>
        <w:tc>
          <w:tcPr>
            <w:tcW w:w="10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7A.Quantitative and Qualitative Disclosures about Market Risk</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39</w:t>
            </w:r>
          </w:p>
        </w:tc>
        <w:tc>
          <w:tcPr>
            <w:tcW w:w="0" w:type="dxa"/>
            <w:vAlign w:val="bottom"/>
          </w:tcPr>
          <w:p>
            <w:pPr>
              <w:spacing w:after="0"/>
              <w:rPr>
                <w:sz w:val="1"/>
                <w:szCs w:val="1"/>
                <w:color w:val="auto"/>
              </w:rPr>
            </w:pPr>
          </w:p>
        </w:tc>
      </w:tr>
      <w:tr>
        <w:trPr>
          <w:trHeight w:val="231"/>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40</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40</w:t>
            </w:r>
          </w:p>
        </w:tc>
        <w:tc>
          <w:tcPr>
            <w:tcW w:w="0" w:type="dxa"/>
            <w:vAlign w:val="bottom"/>
          </w:tcPr>
          <w:p>
            <w:pPr>
              <w:spacing w:after="0"/>
              <w:rPr>
                <w:sz w:val="1"/>
                <w:szCs w:val="1"/>
                <w:color w:val="auto"/>
              </w:rPr>
            </w:pPr>
          </w:p>
        </w:tc>
      </w:tr>
      <w:tr>
        <w:trPr>
          <w:trHeight w:val="230"/>
        </w:trPr>
        <w:tc>
          <w:tcPr>
            <w:tcW w:w="10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9A.Controls and Procedures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40</w:t>
            </w:r>
          </w:p>
        </w:tc>
        <w:tc>
          <w:tcPr>
            <w:tcW w:w="0" w:type="dxa"/>
            <w:vAlign w:val="bottom"/>
          </w:tcPr>
          <w:p>
            <w:pPr>
              <w:spacing w:after="0"/>
              <w:rPr>
                <w:sz w:val="1"/>
                <w:szCs w:val="1"/>
                <w:color w:val="auto"/>
              </w:rPr>
            </w:pPr>
          </w:p>
        </w:tc>
      </w:tr>
      <w:tr>
        <w:trPr>
          <w:trHeight w:val="230"/>
        </w:trPr>
        <w:tc>
          <w:tcPr>
            <w:tcW w:w="10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9B.Other Information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40</w:t>
            </w:r>
          </w:p>
        </w:tc>
        <w:tc>
          <w:tcPr>
            <w:tcW w:w="0" w:type="dxa"/>
            <w:vAlign w:val="bottom"/>
          </w:tcPr>
          <w:p>
            <w:pPr>
              <w:spacing w:after="0"/>
              <w:rPr>
                <w:sz w:val="1"/>
                <w:szCs w:val="1"/>
                <w:color w:val="auto"/>
              </w:rPr>
            </w:pPr>
          </w:p>
        </w:tc>
      </w:tr>
      <w:tr>
        <w:trPr>
          <w:trHeight w:val="265"/>
        </w:trPr>
        <w:tc>
          <w:tcPr>
            <w:tcW w:w="10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Item 9C.Disclosure Regarding Foreign Jurisdictions that Prevent Inspections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40</w:t>
            </w:r>
          </w:p>
        </w:tc>
        <w:tc>
          <w:tcPr>
            <w:tcW w:w="0" w:type="dxa"/>
            <w:vAlign w:val="bottom"/>
          </w:tcPr>
          <w:p>
            <w:pPr>
              <w:spacing w:after="0"/>
              <w:rPr>
                <w:sz w:val="1"/>
                <w:szCs w:val="1"/>
                <w:color w:val="auto"/>
              </w:rPr>
            </w:pPr>
          </w:p>
        </w:tc>
      </w:tr>
      <w:tr>
        <w:trPr>
          <w:trHeight w:val="423"/>
        </w:trPr>
        <w:tc>
          <w:tcPr>
            <w:tcW w:w="700" w:type="dxa"/>
            <w:vAlign w:val="bottom"/>
          </w:tcPr>
          <w:p>
            <w:pPr>
              <w:spacing w:after="0"/>
              <w:rPr>
                <w:sz w:val="24"/>
                <w:szCs w:val="24"/>
                <w:color w:val="auto"/>
              </w:rPr>
            </w:pPr>
          </w:p>
        </w:tc>
        <w:tc>
          <w:tcPr>
            <w:tcW w:w="93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9"/>
              </w:rPr>
              <w:t>PART III</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Executive Compensation</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47</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53</w:t>
            </w:r>
          </w:p>
        </w:tc>
        <w:tc>
          <w:tcPr>
            <w:tcW w:w="0" w:type="dxa"/>
            <w:vAlign w:val="bottom"/>
          </w:tcPr>
          <w:p>
            <w:pPr>
              <w:spacing w:after="0"/>
              <w:rPr>
                <w:sz w:val="1"/>
                <w:szCs w:val="1"/>
                <w:color w:val="auto"/>
              </w:rPr>
            </w:pPr>
          </w:p>
        </w:tc>
      </w:tr>
      <w:tr>
        <w:trPr>
          <w:trHeight w:val="228"/>
        </w:trPr>
        <w:tc>
          <w:tcPr>
            <w:tcW w:w="7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Item 13.</w:t>
            </w:r>
          </w:p>
        </w:tc>
        <w:tc>
          <w:tcPr>
            <w:tcW w:w="938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7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54</w:t>
            </w:r>
          </w:p>
        </w:tc>
        <w:tc>
          <w:tcPr>
            <w:tcW w:w="0" w:type="dxa"/>
            <w:vAlign w:val="bottom"/>
          </w:tcPr>
          <w:p>
            <w:pPr>
              <w:spacing w:after="0"/>
              <w:rPr>
                <w:sz w:val="1"/>
                <w:szCs w:val="1"/>
                <w:color w:val="auto"/>
              </w:rPr>
            </w:pPr>
          </w:p>
        </w:tc>
      </w:tr>
      <w:tr>
        <w:trPr>
          <w:trHeight w:val="265"/>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55</w:t>
            </w:r>
          </w:p>
        </w:tc>
        <w:tc>
          <w:tcPr>
            <w:tcW w:w="0" w:type="dxa"/>
            <w:vAlign w:val="bottom"/>
          </w:tcPr>
          <w:p>
            <w:pPr>
              <w:spacing w:after="0"/>
              <w:rPr>
                <w:sz w:val="1"/>
                <w:szCs w:val="1"/>
                <w:color w:val="auto"/>
              </w:rPr>
            </w:pPr>
          </w:p>
        </w:tc>
      </w:tr>
      <w:tr>
        <w:trPr>
          <w:trHeight w:val="426"/>
        </w:trPr>
        <w:tc>
          <w:tcPr>
            <w:tcW w:w="700" w:type="dxa"/>
            <w:vAlign w:val="bottom"/>
          </w:tcPr>
          <w:p>
            <w:pPr>
              <w:spacing w:after="0"/>
              <w:rPr>
                <w:sz w:val="24"/>
                <w:szCs w:val="24"/>
                <w:color w:val="auto"/>
              </w:rPr>
            </w:pPr>
          </w:p>
        </w:tc>
        <w:tc>
          <w:tcPr>
            <w:tcW w:w="938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8"/>
              </w:rPr>
              <w:t>PART IV</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55</w:t>
            </w:r>
          </w:p>
        </w:tc>
        <w:tc>
          <w:tcPr>
            <w:tcW w:w="0" w:type="dxa"/>
            <w:vAlign w:val="bottom"/>
          </w:tcPr>
          <w:p>
            <w:pPr>
              <w:spacing w:after="0"/>
              <w:rPr>
                <w:sz w:val="1"/>
                <w:szCs w:val="1"/>
                <w:color w:val="auto"/>
              </w:rPr>
            </w:pPr>
          </w:p>
        </w:tc>
      </w:tr>
      <w:tr>
        <w:trPr>
          <w:trHeight w:val="266"/>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93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Form 10-K Summary</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1204" w:right="720" w:bottom="4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i</w:t>
      </w:r>
    </w:p>
    <w:p>
      <w:pPr>
        <w:sectPr>
          <w:pgSz w:w="12240" w:h="15840" w:orient="portrait"/>
          <w:cols w:equalWidth="0" w:num="1">
            <w:col w:w="10800"/>
          </w:cols>
          <w:pgMar w:left="720" w:top="1204" w:right="720" w:bottom="456"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NOTE REGARDING REFERENCES TO OUR COMPANY</w:t>
      </w:r>
    </w:p>
    <w:p>
      <w:pPr>
        <w:spacing w:after="0" w:line="2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Throughout this Form 10- K, the words “we,” “us,” “our,” the “Company” and “Microbot” refer to Microbot Medical Inc., including our wholly owned subsidiary, Microbot Medical Ltd., an Israeli corporation (“Microbot Israel”). Unless the context otherwise requires, the historical business, financial statements and operations of Microbot include Microbot Israel, which became a wholly owned subsidiary of the Company on November 28, 2016. The capitalized term “Merger” refers to the November 28, 2016 merger of C&amp;RD Israel Ltd, a then wholly owned subsidiary of the Company, with and into Microbot Israel, with Microbot Israel surviving as a wholly owned subsidiary of the Company.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3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is a summary of the principal risks that could adversely affect our business, operations, and financial results. A more thorough discussion of these and other risks are listed under the section entitled “Risk Factors” commencing on page 13.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Microbot’s Financial Position and Need for Additional Capital</w:t>
      </w:r>
    </w:p>
    <w:p>
      <w:pPr>
        <w:spacing w:after="0" w:line="235" w:lineRule="exact"/>
        <w:rPr>
          <w:sz w:val="20"/>
          <w:szCs w:val="20"/>
          <w:color w:val="auto"/>
        </w:rPr>
      </w:pPr>
    </w:p>
    <w:p>
      <w:pPr>
        <w:jc w:val="both"/>
        <w:ind w:left="720" w:hanging="419"/>
        <w:spacing w:after="0" w:line="243"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Through December 31, 2025, Microbot has not recognized any revenues, and cannot make any assurances of generating significant revenues in the future. It has incurred significant operating losses since inception and is expected to continue to incur significant operating losses for the foreseeable future. The Company may never become profitable or, if achieved, be able to sustain profitability.</w:t>
      </w:r>
    </w:p>
    <w:p>
      <w:pPr>
        <w:spacing w:after="0" w:line="2" w:lineRule="exact"/>
        <w:rPr>
          <w:sz w:val="20"/>
          <w:szCs w:val="20"/>
          <w:color w:val="auto"/>
        </w:rPr>
      </w:pPr>
    </w:p>
    <w:p>
      <w:pPr>
        <w:jc w:val="both"/>
        <w:ind w:left="720" w:hanging="419"/>
        <w:spacing w:after="0" w:line="239" w:lineRule="auto"/>
        <w:tabs>
          <w:tab w:leader="none" w:pos="700" w:val="left"/>
        </w:tabs>
        <w:rPr>
          <w:sz w:val="20"/>
          <w:szCs w:val="20"/>
          <w:color w:val="auto"/>
        </w:rPr>
      </w:pPr>
      <w:r>
        <w:rPr>
          <w:rFonts w:ascii="PMingLiU" w:cs="PMingLiU" w:eastAsia="PMingLiU" w:hAnsi="PMingLiU"/>
          <w:sz w:val="19"/>
          <w:szCs w:val="19"/>
          <w:color w:val="auto"/>
        </w:rPr>
        <w:t xml:space="preserve"> </w:t>
        <w:tab/>
        <w:t>0LFURERW KDV D OLPLWHG RSHUDWLQJ KLVWRU\ DV D FRPPHUFLDO</w:t>
      </w:r>
      <w:r>
        <w:rPr>
          <w:rFonts w:ascii="Times New Roman" w:cs="Times New Roman" w:eastAsia="Times New Roman" w:hAnsi="Times New Roman"/>
          <w:sz w:val="19"/>
          <w:szCs w:val="19"/>
          <w:color w:val="auto"/>
        </w:rPr>
        <w:t>stage company since it ceased primarily being a research and</w:t>
      </w:r>
      <w:r>
        <w:rPr>
          <w:rFonts w:ascii="PMingLiU" w:cs="PMingLiU" w:eastAsia="PMingLiU" w:hAnsi="PMingLiU"/>
          <w:sz w:val="19"/>
          <w:szCs w:val="19"/>
          <w:color w:val="auto"/>
        </w:rPr>
        <w:t xml:space="preserve"> </w:t>
      </w:r>
      <w:r>
        <w:rPr>
          <w:rFonts w:ascii="Times New Roman" w:cs="Times New Roman" w:eastAsia="Times New Roman" w:hAnsi="Times New Roman"/>
          <w:sz w:val="19"/>
          <w:szCs w:val="19"/>
          <w:color w:val="auto"/>
        </w:rPr>
        <w:t>development-stage company, which may make it difficult to evaluate the prospects for the Company’s future viability.</w:t>
      </w:r>
    </w:p>
    <w:p>
      <w:pPr>
        <w:spacing w:after="0" w:line="1" w:lineRule="exact"/>
        <w:rPr>
          <w:sz w:val="20"/>
          <w:szCs w:val="20"/>
          <w:color w:val="auto"/>
        </w:rPr>
      </w:pPr>
    </w:p>
    <w:p>
      <w:pPr>
        <w:jc w:val="both"/>
        <w:ind w:left="720" w:hanging="419"/>
        <w:spacing w:after="0" w:line="238"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Microbot expects to need additional funding, to continue to transition to a profitable commercial enterprise and build a sustainable business model. If Microbot is unable to raise capital, it could be forced to delay, reduce or eliminate its commercialization efforts or future product development programs.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the Development and Commercialization of Microbot’s Products</w:t>
      </w:r>
    </w:p>
    <w:p>
      <w:pPr>
        <w:spacing w:after="0" w:line="235" w:lineRule="exact"/>
        <w:rPr>
          <w:sz w:val="20"/>
          <w:szCs w:val="20"/>
          <w:color w:val="auto"/>
        </w:rPr>
      </w:pPr>
    </w:p>
    <w:p>
      <w:pPr>
        <w:ind w:left="300"/>
        <w:spacing w:after="0"/>
        <w:tabs>
          <w:tab w:leader="none" w:pos="700" w:val="left"/>
        </w:tabs>
        <w:rPr>
          <w:sz w:val="20"/>
          <w:szCs w:val="20"/>
          <w:color w:val="auto"/>
        </w:rPr>
      </w:pPr>
      <w:r>
        <w:rPr>
          <w:rFonts w:ascii="PMingLiU" w:cs="PMingLiU" w:eastAsia="PMingLiU" w:hAnsi="PMingLiU"/>
          <w:sz w:val="16"/>
          <w:szCs w:val="16"/>
          <w:color w:val="auto"/>
        </w:rPr>
        <w:t xml:space="preserve"> </w:t>
      </w:r>
      <w:r>
        <w:rPr>
          <w:sz w:val="20"/>
          <w:szCs w:val="20"/>
          <w:color w:val="auto"/>
        </w:rPr>
        <w:tab/>
      </w:r>
      <w:r>
        <w:rPr>
          <w:rFonts w:ascii="PMingLiU" w:cs="PMingLiU" w:eastAsia="PMingLiU" w:hAnsi="PMingLiU"/>
          <w:sz w:val="16"/>
          <w:szCs w:val="16"/>
          <w:color w:val="auto"/>
        </w:rPr>
        <w:t>0LFURERW¶VEXVLQHVVGHSHQGVKHDYLO\RQWKHVXFFHVVRILWVVROHSURGXFWWKH/,%(57&lt;</w:t>
      </w:r>
      <w:r>
        <w:rPr>
          <w:rFonts w:ascii="Times New Roman" w:cs="Times New Roman" w:eastAsia="Times New Roman" w:hAnsi="Times New Roman"/>
          <w:sz w:val="20"/>
          <w:szCs w:val="20"/>
          <w:color w:val="auto"/>
          <w:vertAlign w:val="superscript"/>
        </w:rPr>
        <w:t>®</w:t>
      </w:r>
      <w:r>
        <w:rPr>
          <w:rFonts w:ascii="PMingLiU" w:cs="PMingLiU" w:eastAsia="PMingLiU" w:hAnsi="PMingLiU"/>
          <w:sz w:val="16"/>
          <w:szCs w:val="16"/>
          <w:color w:val="auto"/>
        </w:rPr>
        <w:t xml:space="preserve"> </w:t>
      </w:r>
      <w:r>
        <w:rPr>
          <w:rFonts w:ascii="Times New Roman" w:cs="Times New Roman" w:eastAsia="Times New Roman" w:hAnsi="Times New Roman"/>
          <w:sz w:val="16"/>
          <w:szCs w:val="16"/>
          <w:color w:val="auto"/>
        </w:rPr>
        <w:t>Endovascular Robotic Surgical System.</w:t>
      </w:r>
    </w:p>
    <w:p>
      <w:pPr>
        <w:ind w:left="720"/>
        <w:spacing w:after="0" w:line="204" w:lineRule="auto"/>
        <w:rPr>
          <w:sz w:val="20"/>
          <w:szCs w:val="20"/>
          <w:color w:val="auto"/>
        </w:rPr>
      </w:pPr>
      <w:r>
        <w:rPr>
          <w:rFonts w:ascii="Times New Roman" w:cs="Times New Roman" w:eastAsia="Times New Roman" w:hAnsi="Times New Roman"/>
          <w:sz w:val="20"/>
          <w:szCs w:val="20"/>
          <w:color w:val="auto"/>
        </w:rPr>
        <w:t>If Microbot is unable to commercialize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or experiences significant</w:t>
      </w:r>
    </w:p>
    <w:p>
      <w:pPr>
        <w:ind w:left="720"/>
        <w:spacing w:after="0" w:line="231" w:lineRule="auto"/>
        <w:rPr>
          <w:sz w:val="20"/>
          <w:szCs w:val="20"/>
          <w:color w:val="auto"/>
        </w:rPr>
      </w:pPr>
      <w:r>
        <w:rPr>
          <w:rFonts w:ascii="Times New Roman" w:cs="Times New Roman" w:eastAsia="Times New Roman" w:hAnsi="Times New Roman"/>
          <w:sz w:val="20"/>
          <w:szCs w:val="20"/>
          <w:color w:val="auto"/>
        </w:rPr>
        <w:t>delays in doing so, Microbot’s business will be materially harmed.</w:t>
      </w:r>
    </w:p>
    <w:p>
      <w:pPr>
        <w:ind w:left="300"/>
        <w:spacing w:after="0" w:line="197" w:lineRule="auto"/>
        <w:tabs>
          <w:tab w:leader="none" w:pos="700" w:val="left"/>
        </w:tabs>
        <w:rPr>
          <w:sz w:val="20"/>
          <w:szCs w:val="20"/>
          <w:color w:val="auto"/>
        </w:rPr>
      </w:pPr>
      <w:r>
        <w:rPr>
          <w:rFonts w:ascii="PMingLiU" w:cs="PMingLiU" w:eastAsia="PMingLiU" w:hAnsi="PMingLiU"/>
          <w:sz w:val="18"/>
          <w:szCs w:val="18"/>
          <w:color w:val="auto"/>
        </w:rPr>
        <w:t xml:space="preserve"> </w:t>
        <w:tab/>
        <w:t>,IWKHFRPPHUFLDORSSRUWXQLW\IRUWKH/,%(57&lt;</w:t>
      </w:r>
      <w:r>
        <w:rPr>
          <w:rFonts w:ascii="Times New Roman" w:cs="Times New Roman" w:eastAsia="Times New Roman" w:hAnsi="Times New Roman"/>
          <w:sz w:val="23"/>
          <w:szCs w:val="23"/>
          <w:color w:val="auto"/>
          <w:vertAlign w:val="superscript"/>
        </w:rPr>
        <w:t>®</w:t>
      </w:r>
      <w:r>
        <w:rPr>
          <w:rFonts w:ascii="PMingLiU" w:cs="PMingLiU" w:eastAsia="PMingLiU" w:hAnsi="PMingLiU"/>
          <w:sz w:val="18"/>
          <w:szCs w:val="18"/>
          <w:color w:val="auto"/>
        </w:rPr>
        <w:t xml:space="preserve"> </w:t>
      </w:r>
      <w:r>
        <w:rPr>
          <w:rFonts w:ascii="Times New Roman" w:cs="Times New Roman" w:eastAsia="Times New Roman" w:hAnsi="Times New Roman"/>
          <w:sz w:val="18"/>
          <w:szCs w:val="18"/>
          <w:color w:val="auto"/>
        </w:rPr>
        <w:t>Endovascular Robotic Surgical System and any other commercial products</w:t>
      </w:r>
    </w:p>
    <w:p>
      <w:pPr>
        <w:ind w:left="720"/>
        <w:spacing w:after="0" w:line="199" w:lineRule="auto"/>
        <w:rPr>
          <w:sz w:val="20"/>
          <w:szCs w:val="20"/>
          <w:color w:val="auto"/>
        </w:rPr>
      </w:pPr>
      <w:r>
        <w:rPr>
          <w:rFonts w:ascii="Times New Roman" w:cs="Times New Roman" w:eastAsia="Times New Roman" w:hAnsi="Times New Roman"/>
          <w:sz w:val="20"/>
          <w:szCs w:val="20"/>
          <w:color w:val="auto"/>
        </w:rPr>
        <w:t>that may be developed by Microbot is smaller than Microbot anticipates, Microbot’s future revenue from the LIBERTY</w:t>
      </w:r>
      <w:r>
        <w:rPr>
          <w:rFonts w:ascii="Times New Roman" w:cs="Times New Roman" w:eastAsia="Times New Roman" w:hAnsi="Times New Roman"/>
          <w:sz w:val="25"/>
          <w:szCs w:val="25"/>
          <w:color w:val="auto"/>
          <w:vertAlign w:val="superscript"/>
        </w:rPr>
        <w:t>®</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Endovascular Robotic Surgical System and such other products will be adversely affected and Microbot’s business will suffer.</w:t>
      </w:r>
    </w:p>
    <w:p>
      <w:pPr>
        <w:ind w:left="300"/>
        <w:spacing w:after="0" w:line="199" w:lineRule="auto"/>
        <w:tabs>
          <w:tab w:leader="none" w:pos="700" w:val="left"/>
        </w:tabs>
        <w:rPr>
          <w:sz w:val="20"/>
          <w:szCs w:val="20"/>
          <w:color w:val="auto"/>
        </w:rPr>
      </w:pPr>
      <w:r>
        <w:rPr>
          <w:rFonts w:ascii="PMingLiU" w:cs="PMingLiU" w:eastAsia="PMingLiU" w:hAnsi="PMingLiU"/>
          <w:sz w:val="19"/>
          <w:szCs w:val="19"/>
          <w:color w:val="auto"/>
        </w:rPr>
        <w:t xml:space="preserve"> </w:t>
        <w:tab/>
        <w:t>&amp;XVWRPHUVZLOOEHXQOLNHO\WREX\WKH/,%(57&lt;</w:t>
      </w:r>
      <w:r>
        <w:rPr>
          <w:rFonts w:ascii="Times New Roman" w:cs="Times New Roman" w:eastAsia="Times New Roman" w:hAnsi="Times New Roman"/>
          <w:sz w:val="24"/>
          <w:szCs w:val="24"/>
          <w:color w:val="auto"/>
          <w:vertAlign w:val="superscript"/>
        </w:rPr>
        <w:t>®</w:t>
      </w:r>
      <w:r>
        <w:rPr>
          <w:rFonts w:ascii="PMingLiU" w:cs="PMingLiU" w:eastAsia="PMingLiU" w:hAnsi="PMingLiU"/>
          <w:sz w:val="19"/>
          <w:szCs w:val="19"/>
          <w:color w:val="auto"/>
        </w:rPr>
        <w:t xml:space="preserve"> </w:t>
      </w:r>
      <w:r>
        <w:rPr>
          <w:rFonts w:ascii="Times New Roman" w:cs="Times New Roman" w:eastAsia="Times New Roman" w:hAnsi="Times New Roman"/>
          <w:sz w:val="19"/>
          <w:szCs w:val="19"/>
          <w:color w:val="auto"/>
        </w:rPr>
        <w:t>Endovascular Robotic Surgical System or any other product candidates</w:t>
      </w:r>
    </w:p>
    <w:p>
      <w:pPr>
        <w:ind w:left="720"/>
        <w:spacing w:after="0"/>
        <w:rPr>
          <w:sz w:val="20"/>
          <w:szCs w:val="20"/>
          <w:color w:val="auto"/>
        </w:rPr>
      </w:pPr>
      <w:r>
        <w:rPr>
          <w:rFonts w:ascii="Times New Roman" w:cs="Times New Roman" w:eastAsia="Times New Roman" w:hAnsi="Times New Roman"/>
          <w:sz w:val="20"/>
          <w:szCs w:val="20"/>
          <w:color w:val="auto"/>
        </w:rPr>
        <w:t>unless Microbot can demonstrate that they can be produced for sale to consumers at attractive prices.</w:t>
      </w:r>
    </w:p>
    <w:p>
      <w:pPr>
        <w:ind w:left="300"/>
        <w:spacing w:after="0"/>
        <w:tabs>
          <w:tab w:leader="none" w:pos="700" w:val="left"/>
        </w:tabs>
        <w:rPr>
          <w:sz w:val="20"/>
          <w:szCs w:val="20"/>
          <w:color w:val="auto"/>
        </w:rPr>
      </w:pPr>
      <w:r>
        <w:rPr>
          <w:rFonts w:ascii="PMingLiU" w:cs="PMingLiU" w:eastAsia="PMingLiU" w:hAnsi="PMingLiU"/>
          <w:sz w:val="15"/>
          <w:szCs w:val="15"/>
          <w:color w:val="auto"/>
        </w:rPr>
        <w:t xml:space="preserve"> </w:t>
      </w:r>
      <w:r>
        <w:rPr>
          <w:sz w:val="20"/>
          <w:szCs w:val="20"/>
          <w:color w:val="auto"/>
        </w:rPr>
        <w:tab/>
      </w:r>
      <w:r>
        <w:rPr>
          <w:rFonts w:ascii="PMingLiU" w:cs="PMingLiU" w:eastAsia="PMingLiU" w:hAnsi="PMingLiU"/>
          <w:sz w:val="15"/>
          <w:szCs w:val="15"/>
          <w:color w:val="auto"/>
        </w:rPr>
        <w:t>,I0LFURERWLVQRWDEOHWRERWKREWDLQDQGPDLQWDLQDGHTXDWHOHYHOVRIWKLUG</w:t>
      </w:r>
      <w:r>
        <w:rPr>
          <w:rFonts w:ascii="Times New Roman" w:cs="Times New Roman" w:eastAsia="Times New Roman" w:hAnsi="Times New Roman"/>
          <w:sz w:val="15"/>
          <w:szCs w:val="15"/>
          <w:color w:val="auto"/>
        </w:rPr>
        <w:t>party reimbursement for procedures involving</w:t>
      </w:r>
    </w:p>
    <w:p>
      <w:pPr>
        <w:ind w:left="720"/>
        <w:spacing w:after="0" w:line="230" w:lineRule="auto"/>
        <w:rPr>
          <w:sz w:val="20"/>
          <w:szCs w:val="20"/>
          <w:color w:val="auto"/>
        </w:rPr>
      </w:pPr>
      <w:r>
        <w:rPr>
          <w:rFonts w:ascii="Times New Roman" w:cs="Times New Roman" w:eastAsia="Times New Roman" w:hAnsi="Times New Roman"/>
          <w:sz w:val="20"/>
          <w:szCs w:val="20"/>
          <w:color w:val="auto"/>
        </w:rPr>
        <w:t>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or any other of its product candidates after they are approved for marketing and launched commercially, it would</w:t>
      </w:r>
    </w:p>
    <w:p>
      <w:pPr>
        <w:ind w:left="720"/>
        <w:spacing w:after="0"/>
        <w:rPr>
          <w:sz w:val="20"/>
          <w:szCs w:val="20"/>
          <w:color w:val="auto"/>
        </w:rPr>
      </w:pPr>
      <w:r>
        <w:rPr>
          <w:rFonts w:ascii="Times New Roman" w:cs="Times New Roman" w:eastAsia="Times New Roman" w:hAnsi="Times New Roman"/>
          <w:sz w:val="20"/>
          <w:szCs w:val="20"/>
          <w:color w:val="auto"/>
        </w:rPr>
        <w:t>have a material adverse effect on Microbot’s business.</w:t>
      </w:r>
    </w:p>
    <w:p>
      <w:pPr>
        <w:ind w:left="300"/>
        <w:spacing w:after="0" w:line="227"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Unsuccessful studies, trials or procedures relating to product candidates under development or that we may develop, or</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applications for such candidates, could have a material adverse effect on our prospects.</w:t>
      </w:r>
    </w:p>
    <w:p>
      <w:pPr>
        <w:ind w:left="300"/>
        <w:spacing w:after="0" w:line="237" w:lineRule="auto"/>
        <w:tabs>
          <w:tab w:leader="none" w:pos="700" w:val="left"/>
        </w:tabs>
        <w:rPr>
          <w:sz w:val="20"/>
          <w:szCs w:val="20"/>
          <w:color w:val="auto"/>
        </w:rPr>
      </w:pPr>
      <w:r>
        <w:rPr>
          <w:rFonts w:ascii="PMingLiU" w:cs="PMingLiU" w:eastAsia="PMingLiU" w:hAnsi="PMingLiU"/>
          <w:sz w:val="19"/>
          <w:szCs w:val="19"/>
          <w:color w:val="auto"/>
        </w:rPr>
        <w:t xml:space="preserve"> </w:t>
        <w:tab/>
        <w:t>7KHUHVXOWVRI0LFURERW¶V</w:t>
      </w:r>
      <w:r>
        <w:rPr>
          <w:rFonts w:ascii="Times New Roman" w:cs="Times New Roman" w:eastAsia="Times New Roman" w:hAnsi="Times New Roman"/>
          <w:sz w:val="19"/>
          <w:szCs w:val="19"/>
          <w:color w:val="auto"/>
        </w:rPr>
        <w:t>research and development efforts are uncertain and there can be no assurance of the commercial</w:t>
      </w:r>
    </w:p>
    <w:p>
      <w:pPr>
        <w:ind w:left="720"/>
        <w:spacing w:after="0"/>
        <w:rPr>
          <w:sz w:val="20"/>
          <w:szCs w:val="20"/>
          <w:color w:val="auto"/>
        </w:rPr>
      </w:pPr>
      <w:r>
        <w:rPr>
          <w:rFonts w:ascii="Times New Roman" w:cs="Times New Roman" w:eastAsia="Times New Roman" w:hAnsi="Times New Roman"/>
          <w:sz w:val="20"/>
          <w:szCs w:val="20"/>
          <w:color w:val="auto"/>
        </w:rPr>
        <w:t>success of Microbot’s future product applications or candidates.</w:t>
      </w:r>
    </w:p>
    <w:p>
      <w:pPr>
        <w:ind w:left="300" w:right="1860"/>
        <w:spacing w:after="0" w:line="231"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Microbot may not meet its development and commercialization objectives in a timely manner or at all. </w:t>
      </w: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Microbot’s ability to expand its technology platforms for other uses may be limited.</w:t>
      </w:r>
    </w:p>
    <w:p>
      <w:pPr>
        <w:jc w:val="both"/>
        <w:ind w:left="720" w:hanging="419"/>
        <w:spacing w:after="0" w:line="235"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Microbot does not know whether any data submitted with any future 510(k) application will satisfy all FDA requirements to support clearance of any future product candidate of Microbot, which would create uncertainty for Microbot as well as the possibility of increased product development costs and time to market for any such product candidate</w:t>
      </w:r>
    </w:p>
    <w:p>
      <w:pPr>
        <w:jc w:val="both"/>
        <w:ind w:left="720" w:hanging="419"/>
        <w:spacing w:after="0" w:line="330" w:lineRule="auto"/>
        <w:tabs>
          <w:tab w:leader="none" w:pos="700" w:val="left"/>
        </w:tabs>
        <w:rPr>
          <w:sz w:val="20"/>
          <w:szCs w:val="20"/>
          <w:color w:val="auto"/>
        </w:rPr>
      </w:pPr>
      <w:r>
        <w:rPr>
          <w:rFonts w:ascii="PMingLiU" w:cs="PMingLiU" w:eastAsia="PMingLiU" w:hAnsi="PMingLiU"/>
          <w:sz w:val="14"/>
          <w:szCs w:val="14"/>
          <w:color w:val="auto"/>
        </w:rPr>
        <w:t xml:space="preserve"> </w:t>
      </w:r>
      <w:r>
        <w:rPr>
          <w:sz w:val="20"/>
          <w:szCs w:val="20"/>
          <w:color w:val="auto"/>
        </w:rPr>
        <w:tab/>
      </w:r>
      <w:r>
        <w:rPr>
          <w:rFonts w:ascii="PMingLiU" w:cs="PMingLiU" w:eastAsia="PMingLiU" w:hAnsi="PMingLiU"/>
          <w:sz w:val="14"/>
          <w:szCs w:val="14"/>
          <w:color w:val="auto"/>
        </w:rPr>
        <w:t>0LFURERWZLOOGHSHQGXSRQWKHDELOLW\RIWKLUGSDUWLHVLQFOXGLQJFRQWUDFWUHVHDUFKRUJDQL]DWLRQVFROODERUDWLYHDFDGHPLFJUR</w:t>
      </w:r>
      <w:r>
        <w:rPr>
          <w:rFonts w:ascii="Times New Roman" w:cs="Times New Roman" w:eastAsia="Times New Roman" w:hAnsi="Times New Roman"/>
          <w:sz w:val="14"/>
          <w:szCs w:val="14"/>
          <w:color w:val="auto"/>
        </w:rPr>
        <w:t>ups,</w:t>
      </w:r>
      <w:r>
        <w:rPr>
          <w:rFonts w:ascii="PMingLiU" w:cs="PMingLiU" w:eastAsia="PMingLiU" w:hAnsi="PMingLiU"/>
          <w:sz w:val="14"/>
          <w:szCs w:val="14"/>
          <w:color w:val="auto"/>
        </w:rPr>
        <w:t xml:space="preserve"> </w:t>
      </w:r>
      <w:r>
        <w:rPr>
          <w:rFonts w:ascii="Times New Roman" w:cs="Times New Roman" w:eastAsia="Times New Roman" w:hAnsi="Times New Roman"/>
          <w:sz w:val="14"/>
          <w:szCs w:val="14"/>
          <w:color w:val="auto"/>
        </w:rPr>
        <w:t>future clinical trial sites and investigators, to conduct or to assist the Company in conducting clinical trials for any future product applications and candidates, if such trials become necessary.</w:t>
      </w:r>
    </w:p>
    <w:p>
      <w:pPr>
        <w:ind w:left="300"/>
        <w:spacing w:after="0" w:line="229"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Our research and development program is dependent on the availability of certain components from suppliers, the delay in</w:t>
      </w:r>
    </w:p>
    <w:p>
      <w:pPr>
        <w:ind w:left="720"/>
        <w:spacing w:after="0"/>
        <w:rPr>
          <w:sz w:val="20"/>
          <w:szCs w:val="20"/>
          <w:color w:val="auto"/>
        </w:rPr>
      </w:pPr>
      <w:r>
        <w:rPr>
          <w:rFonts w:ascii="Times New Roman" w:cs="Times New Roman" w:eastAsia="Times New Roman" w:hAnsi="Times New Roman"/>
          <w:sz w:val="20"/>
          <w:szCs w:val="20"/>
          <w:color w:val="auto"/>
        </w:rPr>
        <w:t>delivery of which could materially adversely affect our ongoing development and ability to manufacture and package devices</w:t>
      </w:r>
    </w:p>
    <w:p>
      <w:pPr>
        <w:ind w:left="720"/>
        <w:spacing w:after="0" w:line="238" w:lineRule="auto"/>
        <w:rPr>
          <w:sz w:val="20"/>
          <w:szCs w:val="20"/>
          <w:color w:val="auto"/>
        </w:rPr>
      </w:pPr>
      <w:r>
        <w:rPr>
          <w:rFonts w:ascii="Times New Roman" w:cs="Times New Roman" w:eastAsia="Times New Roman" w:hAnsi="Times New Roman"/>
          <w:sz w:val="20"/>
          <w:szCs w:val="20"/>
          <w:color w:val="auto"/>
        </w:rPr>
        <w:t>in the timeframes currently expected.</w:t>
      </w:r>
    </w:p>
    <w:p>
      <w:pPr>
        <w:ind w:left="300"/>
        <w:spacing w:after="0"/>
        <w:tabs>
          <w:tab w:leader="none" w:pos="700" w:val="left"/>
        </w:tabs>
        <w:rPr>
          <w:sz w:val="20"/>
          <w:szCs w:val="20"/>
          <w:color w:val="auto"/>
        </w:rPr>
      </w:pPr>
      <w:r>
        <w:rPr>
          <w:rFonts w:ascii="PMingLiU" w:cs="PMingLiU" w:eastAsia="PMingLiU" w:hAnsi="PMingLiU"/>
          <w:sz w:val="15"/>
          <w:szCs w:val="15"/>
          <w:color w:val="auto"/>
        </w:rPr>
        <w:t xml:space="preserve"> </w:t>
      </w:r>
      <w:r>
        <w:rPr>
          <w:sz w:val="20"/>
          <w:szCs w:val="20"/>
          <w:color w:val="auto"/>
        </w:rPr>
        <w:tab/>
      </w:r>
      <w:r>
        <w:rPr>
          <w:rFonts w:ascii="PMingLiU" w:cs="PMingLiU" w:eastAsia="PMingLiU" w:hAnsi="PMingLiU"/>
          <w:sz w:val="15"/>
          <w:szCs w:val="15"/>
          <w:color w:val="auto"/>
        </w:rPr>
        <w:t>0LFURERWKDV UHOLHG RQ DQG LQWHQGV WR FRQWLQXH WR UHO\ RQ WKLUG</w:t>
      </w:r>
      <w:r>
        <w:rPr>
          <w:rFonts w:ascii="Times New Roman" w:cs="Times New Roman" w:eastAsia="Times New Roman" w:hAnsi="Times New Roman"/>
          <w:sz w:val="15"/>
          <w:szCs w:val="15"/>
          <w:color w:val="auto"/>
        </w:rPr>
        <w:t>party manufacturers to produce its products and product</w:t>
      </w:r>
    </w:p>
    <w:p>
      <w:pPr>
        <w:spacing w:after="0" w:line="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candidates.</w:t>
      </w:r>
    </w:p>
    <w:p>
      <w:pPr>
        <w:ind w:left="300"/>
        <w:spacing w:after="0"/>
        <w:tabs>
          <w:tab w:leader="none" w:pos="700" w:val="left"/>
        </w:tabs>
        <w:rPr>
          <w:sz w:val="20"/>
          <w:szCs w:val="20"/>
          <w:color w:val="auto"/>
        </w:rPr>
      </w:pPr>
      <w:r>
        <w:rPr>
          <w:rFonts w:ascii="PMingLiU" w:cs="PMingLiU" w:eastAsia="PMingLiU" w:hAnsi="PMingLiU"/>
          <w:sz w:val="19"/>
          <w:szCs w:val="19"/>
          <w:color w:val="auto"/>
        </w:rPr>
        <w:t xml:space="preserve"> </w:t>
        <w:tab/>
        <w:t>,I0LFURERW¶V</w:t>
      </w:r>
      <w:r>
        <w:rPr>
          <w:rFonts w:ascii="Times New Roman" w:cs="Times New Roman" w:eastAsia="Times New Roman" w:hAnsi="Times New Roman"/>
          <w:sz w:val="19"/>
          <w:szCs w:val="19"/>
          <w:color w:val="auto"/>
        </w:rPr>
        <w:t>products and product candidates are not considered to be a safe and effective alternative to existing technologies,</w:t>
      </w:r>
    </w:p>
    <w:p>
      <w:pPr>
        <w:ind w:left="720"/>
        <w:spacing w:after="0"/>
        <w:rPr>
          <w:sz w:val="20"/>
          <w:szCs w:val="20"/>
          <w:color w:val="auto"/>
        </w:rPr>
      </w:pPr>
      <w:r>
        <w:rPr>
          <w:rFonts w:ascii="Times New Roman" w:cs="Times New Roman" w:eastAsia="Times New Roman" w:hAnsi="Times New Roman"/>
          <w:sz w:val="20"/>
          <w:szCs w:val="20"/>
          <w:color w:val="auto"/>
        </w:rPr>
        <w:t>Microbot will not be commercially successful.</w:t>
      </w:r>
    </w:p>
    <w:p>
      <w:pPr>
        <w:sectPr>
          <w:pgSz w:w="12240" w:h="15840" w:orient="portrait"/>
          <w:cols w:equalWidth="0" w:num="1">
            <w:col w:w="10800"/>
          </w:cols>
          <w:pgMar w:left="720" w:top="973" w:right="720" w:bottom="491" w:gutter="0" w:footer="0" w:header="0"/>
        </w:sectPr>
      </w:pP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2240" w:h="15840" w:orient="portrait"/>
          <w:cols w:equalWidth="0" w:num="1">
            <w:col w:w="10800"/>
          </w:cols>
          <w:pgMar w:left="720" w:top="973" w:right="720" w:bottom="491" w:gutter="0" w:footer="0" w:header="0"/>
          <w:type w:val="continuous"/>
        </w:sectPr>
      </w:pPr>
    </w:p>
    <w:bookmarkStart w:id="4" w:name="page5"/>
    <w:bookmarkEnd w:id="4"/>
    <w:p>
      <w:pPr>
        <w:jc w:val="both"/>
        <w:ind w:left="720" w:hanging="419"/>
        <w:spacing w:after="0" w:line="246"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Microbot may be subject to penalties and may be precluded from marketing its products and product candidates if Microbot fails to comply with extensive governmental regulations.</w:t>
      </w:r>
    </w:p>
    <w:p>
      <w:pPr>
        <w:spacing w:after="0" w:line="1" w:lineRule="exact"/>
        <w:rPr>
          <w:sz w:val="20"/>
          <w:szCs w:val="20"/>
          <w:color w:val="auto"/>
        </w:rPr>
      </w:pPr>
    </w:p>
    <w:p>
      <w:pPr>
        <w:jc w:val="both"/>
        <w:ind w:left="720" w:hanging="419"/>
        <w:spacing w:after="0" w:line="229"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Microbot products may in the future be subject to mandatory product recalls that could harm its reputation, business and financial results.</w:t>
      </w:r>
    </w:p>
    <w:p>
      <w:pPr>
        <w:spacing w:after="0" w:line="2" w:lineRule="exact"/>
        <w:rPr>
          <w:sz w:val="20"/>
          <w:szCs w:val="20"/>
          <w:color w:val="auto"/>
        </w:rPr>
      </w:pPr>
    </w:p>
    <w:p>
      <w:pPr>
        <w:jc w:val="both"/>
        <w:ind w:left="720" w:hanging="419"/>
        <w:spacing w:after="0" w:line="215" w:lineRule="auto"/>
        <w:tabs>
          <w:tab w:leader="none" w:pos="700" w:val="left"/>
        </w:tabs>
        <w:rPr>
          <w:sz w:val="20"/>
          <w:szCs w:val="20"/>
          <w:color w:val="auto"/>
        </w:rPr>
      </w:pPr>
      <w:r>
        <w:rPr>
          <w:rFonts w:ascii="PMingLiU" w:cs="PMingLiU" w:eastAsia="PMingLiU" w:hAnsi="PMingLiU"/>
          <w:sz w:val="20"/>
          <w:szCs w:val="20"/>
          <w:color w:val="auto"/>
        </w:rPr>
        <w:t xml:space="preserve"> </w:t>
        <w:tab/>
        <w:t>,I/,%(57&lt;</w:t>
      </w:r>
      <w:r>
        <w:rPr>
          <w:rFonts w:ascii="Times New Roman" w:cs="Times New Roman" w:eastAsia="Times New Roman" w:hAnsi="Times New Roman"/>
          <w:sz w:val="25"/>
          <w:szCs w:val="25"/>
          <w:color w:val="auto"/>
          <w:vertAlign w:val="superscript"/>
        </w:rPr>
        <w:t>®</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or other of Microbot’s future commercialized products cause or contribute to a death or a serious injury, Microbot</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will be subject to Medical Device Reporting regulations, which can result in voluntary corrective actions or agency enforcement actions.</w:t>
      </w:r>
    </w:p>
    <w:p>
      <w:pPr>
        <w:spacing w:after="0" w:line="2" w:lineRule="exact"/>
        <w:rPr>
          <w:sz w:val="20"/>
          <w:szCs w:val="20"/>
          <w:color w:val="auto"/>
        </w:rPr>
      </w:pPr>
    </w:p>
    <w:p>
      <w:pPr>
        <w:jc w:val="both"/>
        <w:ind w:left="720" w:hanging="419"/>
        <w:spacing w:after="0" w:line="232"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Microbot could be exposed to significant liability claims if Microbot is unable to obtain insurance at acceptable costs and adequate levels or otherwise protect itself against potential product liability claims.</w:t>
      </w:r>
    </w:p>
    <w:p>
      <w:pPr>
        <w:spacing w:after="0" w:line="1" w:lineRule="exact"/>
        <w:rPr>
          <w:sz w:val="20"/>
          <w:szCs w:val="20"/>
          <w:color w:val="auto"/>
        </w:rPr>
      </w:pPr>
    </w:p>
    <w:p>
      <w:pPr>
        <w:jc w:val="both"/>
        <w:ind w:left="720" w:hanging="419"/>
        <w:spacing w:after="0" w:line="333" w:lineRule="auto"/>
        <w:tabs>
          <w:tab w:leader="none" w:pos="700" w:val="left"/>
        </w:tabs>
        <w:rPr>
          <w:sz w:val="20"/>
          <w:szCs w:val="20"/>
          <w:color w:val="auto"/>
        </w:rPr>
      </w:pPr>
      <w:r>
        <w:rPr>
          <w:rFonts w:ascii="PMingLiU" w:cs="PMingLiU" w:eastAsia="PMingLiU" w:hAnsi="PMingLiU"/>
          <w:sz w:val="14"/>
          <w:szCs w:val="14"/>
          <w:color w:val="auto"/>
        </w:rPr>
        <w:t xml:space="preserve"> </w:t>
      </w:r>
      <w:r>
        <w:rPr>
          <w:sz w:val="20"/>
          <w:szCs w:val="20"/>
          <w:color w:val="auto"/>
        </w:rPr>
        <w:tab/>
      </w:r>
      <w:r>
        <w:rPr>
          <w:rFonts w:ascii="PMingLiU" w:cs="PMingLiU" w:eastAsia="PMingLiU" w:hAnsi="PMingLiU"/>
          <w:sz w:val="14"/>
          <w:szCs w:val="14"/>
          <w:color w:val="auto"/>
        </w:rPr>
        <w:t>,I0LFURERWIDLOVWRUHWDLQFHUWDLQRILWVNH\SHUVRQQHODQGDWWUDFWDQGUHWDLQDGGLWLRQDOTXDOLILHGSHUVRQQHO0LFURERWPLJK</w:t>
      </w:r>
      <w:r>
        <w:rPr>
          <w:rFonts w:ascii="Times New Roman" w:cs="Times New Roman" w:eastAsia="Times New Roman" w:hAnsi="Times New Roman"/>
          <w:sz w:val="14"/>
          <w:szCs w:val="14"/>
          <w:color w:val="auto"/>
        </w:rPr>
        <w:t>t not</w:t>
      </w:r>
      <w:r>
        <w:rPr>
          <w:rFonts w:ascii="PMingLiU" w:cs="PMingLiU" w:eastAsia="PMingLiU" w:hAnsi="PMingLiU"/>
          <w:sz w:val="14"/>
          <w:szCs w:val="14"/>
          <w:color w:val="auto"/>
        </w:rPr>
        <w:t xml:space="preserve"> </w:t>
      </w:r>
      <w:r>
        <w:rPr>
          <w:rFonts w:ascii="Times New Roman" w:cs="Times New Roman" w:eastAsia="Times New Roman" w:hAnsi="Times New Roman"/>
          <w:sz w:val="14"/>
          <w:szCs w:val="14"/>
          <w:color w:val="auto"/>
        </w:rPr>
        <w:t>be able to pursue its growth strategy effectively.</w:t>
      </w:r>
    </w:p>
    <w:p>
      <w:pPr>
        <w:ind w:left="300"/>
        <w:spacing w:after="0" w:line="238"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Our profitability may be negatively impacted by inflation in the cost of labor, materials, and services.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International Business</w:t>
      </w:r>
    </w:p>
    <w:p>
      <w:pPr>
        <w:spacing w:after="0" w:line="233" w:lineRule="exact"/>
        <w:rPr>
          <w:sz w:val="20"/>
          <w:szCs w:val="20"/>
          <w:color w:val="auto"/>
        </w:rPr>
      </w:pPr>
    </w:p>
    <w:p>
      <w:pPr>
        <w:ind w:left="720" w:hanging="419"/>
        <w:spacing w:after="0" w:line="224" w:lineRule="auto"/>
        <w:tabs>
          <w:tab w:leader="none" w:pos="700" w:val="left"/>
        </w:tabs>
        <w:rPr>
          <w:sz w:val="20"/>
          <w:szCs w:val="20"/>
          <w:color w:val="auto"/>
        </w:rPr>
      </w:pPr>
      <w:r>
        <w:rPr>
          <w:rFonts w:ascii="PMingLiU" w:cs="PMingLiU" w:eastAsia="PMingLiU" w:hAnsi="PMingLiU"/>
          <w:sz w:val="19"/>
          <w:szCs w:val="19"/>
          <w:color w:val="auto"/>
        </w:rPr>
        <w:t xml:space="preserve"> </w:t>
        <w:tab/>
        <w:t>,I0LFURERWIDLOVWRREWDLQUHJXODWRU\FOHDUDQFHVLQRWKHUFRXQWULHVIRU/,%(57&lt;</w:t>
      </w:r>
      <w:r>
        <w:rPr>
          <w:rFonts w:ascii="Times New Roman" w:cs="Times New Roman" w:eastAsia="Times New Roman" w:hAnsi="Times New Roman"/>
          <w:sz w:val="24"/>
          <w:szCs w:val="24"/>
          <w:color w:val="auto"/>
          <w:vertAlign w:val="superscript"/>
        </w:rPr>
        <w:t>®</w:t>
      </w:r>
      <w:r>
        <w:rPr>
          <w:rFonts w:ascii="PMingLiU" w:cs="PMingLiU" w:eastAsia="PMingLiU" w:hAnsi="PMingLiU"/>
          <w:sz w:val="19"/>
          <w:szCs w:val="19"/>
          <w:color w:val="auto"/>
        </w:rPr>
        <w:t xml:space="preserve"> </w:t>
      </w:r>
      <w:r>
        <w:rPr>
          <w:rFonts w:ascii="Times New Roman" w:cs="Times New Roman" w:eastAsia="Times New Roman" w:hAnsi="Times New Roman"/>
          <w:sz w:val="19"/>
          <w:szCs w:val="19"/>
          <w:color w:val="auto"/>
        </w:rPr>
        <w:t>or any other future product candidates,</w:t>
      </w:r>
      <w:r>
        <w:rPr>
          <w:rFonts w:ascii="PMingLiU" w:cs="PMingLiU" w:eastAsia="PMingLiU" w:hAnsi="PMingLiU"/>
          <w:sz w:val="19"/>
          <w:szCs w:val="19"/>
          <w:color w:val="auto"/>
        </w:rPr>
        <w:t xml:space="preserve"> </w:t>
      </w:r>
      <w:r>
        <w:rPr>
          <w:rFonts w:ascii="Times New Roman" w:cs="Times New Roman" w:eastAsia="Times New Roman" w:hAnsi="Times New Roman"/>
          <w:sz w:val="19"/>
          <w:szCs w:val="19"/>
          <w:color w:val="auto"/>
        </w:rPr>
        <w:t>Microbot will not be able to commercialize these products or product candidates in those countries.</w:t>
      </w:r>
    </w:p>
    <w:p>
      <w:pPr>
        <w:ind w:left="300"/>
        <w:spacing w:after="0" w:line="238"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Microbot operations in international markets involve inherent risks that Microbot may not be able to control.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Microbot’s Intellectual Property</w:t>
      </w:r>
    </w:p>
    <w:p>
      <w:pPr>
        <w:spacing w:after="0" w:line="235" w:lineRule="exact"/>
        <w:rPr>
          <w:sz w:val="20"/>
          <w:szCs w:val="20"/>
          <w:color w:val="auto"/>
        </w:rPr>
      </w:pPr>
    </w:p>
    <w:p>
      <w:pPr>
        <w:jc w:val="both"/>
        <w:ind w:left="720" w:hanging="419"/>
        <w:spacing w:after="0" w:line="344" w:lineRule="auto"/>
        <w:tabs>
          <w:tab w:leader="none" w:pos="700" w:val="left"/>
        </w:tabs>
        <w:rPr>
          <w:sz w:val="20"/>
          <w:szCs w:val="20"/>
          <w:color w:val="auto"/>
        </w:rPr>
      </w:pPr>
      <w:r>
        <w:rPr>
          <w:rFonts w:ascii="PMingLiU" w:cs="PMingLiU" w:eastAsia="PMingLiU" w:hAnsi="PMingLiU"/>
          <w:sz w:val="14"/>
          <w:szCs w:val="14"/>
          <w:color w:val="auto"/>
        </w:rPr>
        <w:t xml:space="preserve"> </w:t>
      </w:r>
      <w:r>
        <w:rPr>
          <w:sz w:val="20"/>
          <w:szCs w:val="20"/>
          <w:color w:val="auto"/>
        </w:rPr>
        <w:tab/>
      </w:r>
      <w:r>
        <w:rPr>
          <w:rFonts w:ascii="PMingLiU" w:cs="PMingLiU" w:eastAsia="PMingLiU" w:hAnsi="PMingLiU"/>
          <w:sz w:val="14"/>
          <w:szCs w:val="14"/>
          <w:color w:val="auto"/>
        </w:rPr>
        <w:t>,QWHOOHFWXDOSURSHUW\OLWLJDWLRQDQGLQIULQJHPHQWFODLPVFRXOGFDXVH0LFURERWWRLQFXUVLJQLILFDQWH[SHQVHVRUSUHYHQW0LFURE</w:t>
      </w:r>
      <w:r>
        <w:rPr>
          <w:rFonts w:ascii="Times New Roman" w:cs="Times New Roman" w:eastAsia="Times New Roman" w:hAnsi="Times New Roman"/>
          <w:sz w:val="14"/>
          <w:szCs w:val="14"/>
          <w:color w:val="auto"/>
        </w:rPr>
        <w:t>ot</w:t>
      </w:r>
      <w:r>
        <w:rPr>
          <w:rFonts w:ascii="PMingLiU" w:cs="PMingLiU" w:eastAsia="PMingLiU" w:hAnsi="PMingLiU"/>
          <w:sz w:val="14"/>
          <w:szCs w:val="14"/>
          <w:color w:val="auto"/>
        </w:rPr>
        <w:t xml:space="preserve"> </w:t>
      </w:r>
      <w:r>
        <w:rPr>
          <w:rFonts w:ascii="Times New Roman" w:cs="Times New Roman" w:eastAsia="Times New Roman" w:hAnsi="Times New Roman"/>
          <w:sz w:val="14"/>
          <w:szCs w:val="14"/>
          <w:color w:val="auto"/>
        </w:rPr>
        <w:t>from selling certain of its product candidates.</w:t>
      </w:r>
    </w:p>
    <w:p>
      <w:pPr>
        <w:spacing w:after="0" w:line="1" w:lineRule="exact"/>
        <w:rPr>
          <w:sz w:val="20"/>
          <w:szCs w:val="20"/>
          <w:color w:val="auto"/>
        </w:rPr>
      </w:pPr>
    </w:p>
    <w:p>
      <w:pPr>
        <w:jc w:val="both"/>
        <w:ind w:left="720" w:hanging="419"/>
        <w:spacing w:after="0" w:line="498" w:lineRule="auto"/>
        <w:tabs>
          <w:tab w:leader="none" w:pos="700" w:val="left"/>
        </w:tabs>
        <w:rPr>
          <w:sz w:val="20"/>
          <w:szCs w:val="20"/>
          <w:color w:val="auto"/>
        </w:rPr>
      </w:pPr>
      <w:r>
        <w:rPr>
          <w:rFonts w:ascii="PMingLiU" w:cs="PMingLiU" w:eastAsia="PMingLiU" w:hAnsi="PMingLiU"/>
          <w:sz w:val="14"/>
          <w:szCs w:val="14"/>
          <w:color w:val="auto"/>
        </w:rPr>
        <w:t xml:space="preserve"> </w:t>
      </w:r>
      <w:r>
        <w:rPr>
          <w:sz w:val="20"/>
          <w:szCs w:val="20"/>
          <w:color w:val="auto"/>
        </w:rPr>
        <w:tab/>
      </w:r>
      <w:r>
        <w:rPr>
          <w:rFonts w:ascii="PMingLiU" w:cs="PMingLiU" w:eastAsia="PMingLiU" w:hAnsi="PMingLiU"/>
          <w:sz w:val="14"/>
          <w:szCs w:val="14"/>
          <w:color w:val="auto"/>
        </w:rPr>
        <w:t>,I0LFURERWRU75')DUHXQDEOHWRSURWHFWWKHSDWHQWVRURWKHUSURSULHWDU\ULJKWVUHODWLQJWR0LFURERW¶VSURGXFWFDQGLGDWHV</w:t>
      </w:r>
      <w:r>
        <w:rPr>
          <w:rFonts w:ascii="Times New Roman" w:cs="Times New Roman" w:eastAsia="Times New Roman" w:hAnsi="Times New Roman"/>
          <w:sz w:val="14"/>
          <w:szCs w:val="14"/>
          <w:color w:val="auto"/>
        </w:rPr>
        <w:t>or</w:t>
      </w:r>
      <w:r>
        <w:rPr>
          <w:rFonts w:ascii="PMingLiU" w:cs="PMingLiU" w:eastAsia="PMingLiU" w:hAnsi="PMingLiU"/>
          <w:sz w:val="14"/>
          <w:szCs w:val="14"/>
          <w:color w:val="auto"/>
        </w:rPr>
        <w:t xml:space="preserve"> </w:t>
      </w:r>
      <w:r>
        <w:rPr>
          <w:rFonts w:ascii="Times New Roman" w:cs="Times New Roman" w:eastAsia="Times New Roman" w:hAnsi="Times New Roman"/>
          <w:sz w:val="14"/>
          <w:szCs w:val="14"/>
          <w:color w:val="auto"/>
        </w:rPr>
        <w:t>if Microbot infringes on the patents or other proprietary rights of others, Microbot’s competitiveness and business prospects may be materially damaged.</w:t>
      </w:r>
    </w:p>
    <w:p>
      <w:pPr>
        <w:spacing w:after="0" w:line="1" w:lineRule="exact"/>
        <w:rPr>
          <w:sz w:val="20"/>
          <w:szCs w:val="20"/>
          <w:color w:val="auto"/>
        </w:rPr>
      </w:pPr>
    </w:p>
    <w:p>
      <w:pPr>
        <w:jc w:val="both"/>
        <w:ind w:left="720" w:hanging="419"/>
        <w:spacing w:after="0" w:line="419" w:lineRule="auto"/>
        <w:tabs>
          <w:tab w:leader="none" w:pos="700" w:val="left"/>
        </w:tabs>
        <w:rPr>
          <w:sz w:val="20"/>
          <w:szCs w:val="20"/>
          <w:color w:val="auto"/>
        </w:rPr>
      </w:pPr>
      <w:r>
        <w:rPr>
          <w:rFonts w:ascii="PMingLiU" w:cs="PMingLiU" w:eastAsia="PMingLiU" w:hAnsi="PMingLiU"/>
          <w:sz w:val="14"/>
          <w:szCs w:val="14"/>
          <w:color w:val="auto"/>
        </w:rPr>
        <w:t xml:space="preserve"> </w:t>
      </w:r>
      <w:r>
        <w:rPr>
          <w:sz w:val="20"/>
          <w:szCs w:val="20"/>
          <w:color w:val="auto"/>
        </w:rPr>
        <w:tab/>
      </w:r>
      <w:r>
        <w:rPr>
          <w:rFonts w:ascii="PMingLiU" w:cs="PMingLiU" w:eastAsia="PMingLiU" w:hAnsi="PMingLiU"/>
          <w:sz w:val="14"/>
          <w:szCs w:val="14"/>
          <w:color w:val="auto"/>
        </w:rPr>
        <w:t>'HSHQGHQFHRQSDWHQWDQGRWKHUSURSULHWDU\ULJKWVDQGIDLOLQJWRSURWHFWVXFKULJKWVRUWREHVXFFHVVIXOLQOLWLJDWLRQUHODWH</w:t>
      </w:r>
      <w:r>
        <w:rPr>
          <w:rFonts w:ascii="Times New Roman" w:cs="Times New Roman" w:eastAsia="Times New Roman" w:hAnsi="Times New Roman"/>
          <w:sz w:val="14"/>
          <w:szCs w:val="14"/>
          <w:color w:val="auto"/>
        </w:rPr>
        <w:t>d to</w:t>
      </w:r>
      <w:r>
        <w:rPr>
          <w:rFonts w:ascii="PMingLiU" w:cs="PMingLiU" w:eastAsia="PMingLiU" w:hAnsi="PMingLiU"/>
          <w:sz w:val="14"/>
          <w:szCs w:val="14"/>
          <w:color w:val="auto"/>
        </w:rPr>
        <w:t xml:space="preserve"> </w:t>
      </w:r>
      <w:r>
        <w:rPr>
          <w:rFonts w:ascii="Times New Roman" w:cs="Times New Roman" w:eastAsia="Times New Roman" w:hAnsi="Times New Roman"/>
          <w:sz w:val="14"/>
          <w:szCs w:val="14"/>
          <w:color w:val="auto"/>
        </w:rPr>
        <w:t>such rights may result in Microbot’s payment of significant monetary damages or impact offerings in its product portfolios.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Operations in Israel</w:t>
      </w:r>
    </w:p>
    <w:p>
      <w:pPr>
        <w:spacing w:after="0" w:line="232" w:lineRule="exact"/>
        <w:rPr>
          <w:sz w:val="20"/>
          <w:szCs w:val="20"/>
          <w:color w:val="auto"/>
        </w:rPr>
      </w:pPr>
    </w:p>
    <w:p>
      <w:pPr>
        <w:jc w:val="both"/>
        <w:ind w:left="720" w:hanging="419"/>
        <w:spacing w:after="0" w:line="247"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Existing and historical risks relating to our operations in Israel are being exacerbated by the current military actions and operations, and related activities.</w:t>
      </w:r>
    </w:p>
    <w:p>
      <w:pPr>
        <w:spacing w:after="0" w:line="2" w:lineRule="exact"/>
        <w:rPr>
          <w:sz w:val="20"/>
          <w:szCs w:val="20"/>
          <w:color w:val="auto"/>
        </w:rPr>
      </w:pPr>
    </w:p>
    <w:p>
      <w:pPr>
        <w:jc w:val="both"/>
        <w:ind w:left="720" w:hanging="419"/>
        <w:spacing w:after="0" w:line="324" w:lineRule="auto"/>
        <w:tabs>
          <w:tab w:leader="none" w:pos="700" w:val="left"/>
        </w:tabs>
        <w:rPr>
          <w:sz w:val="20"/>
          <w:szCs w:val="20"/>
          <w:color w:val="auto"/>
        </w:rPr>
      </w:pPr>
      <w:r>
        <w:rPr>
          <w:rFonts w:ascii="PMingLiU" w:cs="PMingLiU" w:eastAsia="PMingLiU" w:hAnsi="PMingLiU"/>
          <w:sz w:val="14"/>
          <w:szCs w:val="14"/>
          <w:color w:val="auto"/>
        </w:rPr>
        <w:t xml:space="preserve"> </w:t>
      </w:r>
      <w:r>
        <w:rPr>
          <w:sz w:val="20"/>
          <w:szCs w:val="20"/>
          <w:color w:val="auto"/>
        </w:rPr>
        <w:tab/>
      </w:r>
      <w:r>
        <w:rPr>
          <w:rFonts w:ascii="PMingLiU" w:cs="PMingLiU" w:eastAsia="PMingLiU" w:hAnsi="PMingLiU"/>
          <w:sz w:val="14"/>
          <w:szCs w:val="14"/>
          <w:color w:val="auto"/>
        </w:rPr>
        <w:t xml:space="preserve">0LFURERWKDVIDFLOLWLHVORFDWHGLQ,VUDHODQGWKHUHIRUHSROLWLFDOFRQGLWLRQVLQ,VUDHOPD\DIIHFW0LFURERW¶VRSHUDWLRQVDQG </w:t>
      </w:r>
      <w:r>
        <w:rPr>
          <w:rFonts w:ascii="Times New Roman" w:cs="Times New Roman" w:eastAsia="Times New Roman" w:hAnsi="Times New Roman"/>
          <w:sz w:val="14"/>
          <w:szCs w:val="14"/>
          <w:color w:val="auto"/>
        </w:rPr>
        <w:t>results.</w:t>
      </w:r>
    </w:p>
    <w:p>
      <w:pPr>
        <w:spacing w:after="0" w:line="231" w:lineRule="exact"/>
        <w:rPr>
          <w:sz w:val="20"/>
          <w:szCs w:val="20"/>
          <w:color w:val="auto"/>
        </w:rPr>
      </w:pPr>
    </w:p>
    <w:p>
      <w:pPr>
        <w:ind w:left="300" w:right="3880"/>
        <w:spacing w:after="0" w:line="229"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Political relations could limit Microbot’s ability to sell or buy internationally. </w:t>
      </w: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Israel’s economy may become unstable.</w:t>
      </w:r>
    </w:p>
    <w:p>
      <w:pPr>
        <w:spacing w:after="0" w:line="1" w:lineRule="exact"/>
        <w:rPr>
          <w:sz w:val="20"/>
          <w:szCs w:val="20"/>
          <w:color w:val="auto"/>
        </w:rPr>
      </w:pPr>
    </w:p>
    <w:p>
      <w:pPr>
        <w:ind w:left="300"/>
        <w:spacing w:after="0" w:line="231"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Exchange rate fluctuations between the U.S. dollar and the NIS currencies may negatively affect Microbot’s operating costs. </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Funding and other benefits provided by Israeli government programs may be terminated or reduced in the future and the terms</w:t>
      </w:r>
    </w:p>
    <w:p>
      <w:pPr>
        <w:ind w:left="720"/>
        <w:spacing w:after="0"/>
        <w:rPr>
          <w:sz w:val="20"/>
          <w:szCs w:val="20"/>
          <w:color w:val="auto"/>
        </w:rPr>
      </w:pPr>
      <w:r>
        <w:rPr>
          <w:rFonts w:ascii="Times New Roman" w:cs="Times New Roman" w:eastAsia="Times New Roman" w:hAnsi="Times New Roman"/>
          <w:sz w:val="20"/>
          <w:szCs w:val="20"/>
          <w:color w:val="auto"/>
        </w:rPr>
        <w:t>of such funding may have a significant impact on future corporate decisions.</w:t>
      </w:r>
    </w:p>
    <w:p>
      <w:pPr>
        <w:ind w:left="300"/>
        <w:spacing w:after="0" w:line="237"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Some of Microbot’s employees are obligated to perform military reserve duty in Israel.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225" w:lineRule="exact"/>
        <w:rPr>
          <w:sz w:val="20"/>
          <w:szCs w:val="20"/>
          <w:color w:val="auto"/>
        </w:rPr>
      </w:pPr>
    </w:p>
    <w:p>
      <w:pPr>
        <w:ind w:left="300"/>
        <w:spacing w:after="0" w:line="268"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Political, social and geopolitical conditions can adversely affect our business.</w:t>
      </w:r>
    </w:p>
    <w:p>
      <w:pPr>
        <w:ind w:left="300"/>
        <w:spacing w:after="0" w:line="231"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Political uncertainty may have an adverse impact on our operating performance and results of operations.</w:t>
      </w:r>
    </w:p>
    <w:p>
      <w:pPr>
        <w:ind w:left="720" w:hanging="419"/>
        <w:spacing w:after="0" w:line="232"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The issuance of shares upon exercise of outstanding warrants and options could cause immediate and substantial dilution to existing stockholders.</w:t>
      </w:r>
    </w:p>
    <w:p>
      <w:pPr>
        <w:ind w:left="300"/>
        <w:spacing w:after="0" w:line="238"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Information technology failures and data security breaches could harm our business.</w:t>
      </w:r>
    </w:p>
    <w:p>
      <w:pPr>
        <w:sectPr>
          <w:pgSz w:w="12240" w:h="15840" w:orient="portrait"/>
          <w:cols w:equalWidth="0" w:num="1">
            <w:col w:w="10800"/>
          </w:cols>
          <w:pgMar w:left="720" w:top="977" w:right="720" w:bottom="4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iii</w:t>
      </w:r>
    </w:p>
    <w:p>
      <w:pPr>
        <w:sectPr>
          <w:pgSz w:w="12240" w:h="15840" w:orient="portrait"/>
          <w:cols w:equalWidth="0" w:num="1">
            <w:col w:w="10800"/>
          </w:cols>
          <w:pgMar w:left="720" w:top="977" w:right="720" w:bottom="468"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 </w:t>
      </w:r>
      <w:r>
        <w:rPr>
          <w:rFonts w:ascii="Times New Roman" w:cs="Times New Roman" w:eastAsia="Times New Roman" w:hAnsi="Times New Roman"/>
          <w:sz w:val="20"/>
          <w:szCs w:val="20"/>
          <w:b w:val="1"/>
          <w:bCs w:val="1"/>
          <w:u w:val="single" w:color="auto"/>
          <w:color w:val="auto"/>
        </w:rPr>
        <w:t>Description of Business.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9"/>
          <w:szCs w:val="19"/>
          <w:color w:val="auto"/>
        </w:rPr>
        <w:t>Microbot is a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6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Using our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technological platform, we have developed the first-ever fully disposable robot for various endovascular interventional procedures.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Technological Platforms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LIBERTY</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Endovascular Robotic Surgical System</w:t>
      </w:r>
    </w:p>
    <w:p>
      <w:pPr>
        <w:spacing w:after="0" w:line="17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The FDA-cleared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features a unique compact, single-use design with the capability to be operated remotely, reduce radiation exposure and physical strain to the physician, as well as the potential to eliminate the use of consumables.</w:t>
      </w:r>
    </w:p>
    <w:p>
      <w:pPr>
        <w:spacing w:after="0" w:line="19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 when compared to other robotic systems.</w:t>
      </w:r>
    </w:p>
    <w:p>
      <w:pPr>
        <w:spacing w:after="0" w:line="19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We believe the addressable markets for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1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The unique characteristics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 compact, mobile, disposable and remotely controlled – also may open the opportunity of expanding telerobotic interventions to patients with limited access to life-saving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is being designed to have the following attributes:</w:t>
      </w:r>
    </w:p>
    <w:p>
      <w:pPr>
        <w:spacing w:after="0" w:line="173" w:lineRule="exact"/>
        <w:rPr>
          <w:sz w:val="20"/>
          <w:szCs w:val="20"/>
          <w:color w:val="auto"/>
        </w:rPr>
      </w:pPr>
    </w:p>
    <w:p>
      <w:pPr>
        <w:ind w:left="720" w:hanging="419"/>
        <w:spacing w:after="0" w:line="252" w:lineRule="auto"/>
        <w:tabs>
          <w:tab w:leader="none" w:pos="700" w:val="left"/>
        </w:tabs>
        <w:rPr>
          <w:sz w:val="20"/>
          <w:szCs w:val="20"/>
          <w:color w:val="auto"/>
        </w:rPr>
      </w:pPr>
      <w:r>
        <w:rPr>
          <w:rFonts w:ascii="PMingLiU" w:cs="PMingLiU" w:eastAsia="PMingLiU" w:hAnsi="PMingLiU"/>
          <w:sz w:val="19"/>
          <w:szCs w:val="19"/>
          <w:color w:val="auto"/>
        </w:rPr>
        <w:t xml:space="preserve"> </w:t>
        <w:tab/>
        <w:t>&amp;RPSDFWVL]H(OLPLQDWHVWKHQHHGIRUODUJHFDSLWDOHTXLSPHQWLQGHGLFDWHGFDWK</w:t>
      </w:r>
      <w:r>
        <w:rPr>
          <w:rFonts w:ascii="Times New Roman" w:cs="Times New Roman" w:eastAsia="Times New Roman" w:hAnsi="Times New Roman"/>
          <w:sz w:val="19"/>
          <w:szCs w:val="19"/>
          <w:color w:val="auto"/>
        </w:rPr>
        <w:t>lab rooms with dedicated</w:t>
      </w:r>
      <w:r>
        <w:rPr>
          <w:rFonts w:ascii="PMingLiU" w:cs="PMingLiU" w:eastAsia="PMingLiU" w:hAnsi="PMingLiU"/>
          <w:sz w:val="19"/>
          <w:szCs w:val="19"/>
          <w:color w:val="auto"/>
        </w:rPr>
        <w:t xml:space="preserve"> </w:t>
      </w:r>
      <w:r>
        <w:rPr>
          <w:rFonts w:ascii="Times New Roman" w:cs="Times New Roman" w:eastAsia="Times New Roman" w:hAnsi="Times New Roman"/>
          <w:sz w:val="19"/>
          <w:szCs w:val="19"/>
          <w:color w:val="auto"/>
        </w:rPr>
        <w:t>staff.</w:t>
      </w:r>
    </w:p>
    <w:p>
      <w:pPr>
        <w:ind w:left="300"/>
        <w:spacing w:after="0" w:line="224"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Fully disposable - To our knowledge, the first fully disposable robotic system for endovascular procedures.</w:t>
      </w:r>
    </w:p>
    <w:p>
      <w:pPr>
        <w:ind w:left="300"/>
        <w:spacing w:after="0" w:line="188" w:lineRule="auto"/>
        <w:tabs>
          <w:tab w:leader="none" w:pos="700" w:val="left"/>
          <w:tab w:leader="none" w:pos="1280" w:val="left"/>
        </w:tabs>
        <w:rPr>
          <w:sz w:val="20"/>
          <w:szCs w:val="20"/>
          <w:color w:val="auto"/>
        </w:rPr>
      </w:pPr>
      <w:r>
        <w:rPr>
          <w:rFonts w:ascii="PMingLiU" w:cs="PMingLiU" w:eastAsia="PMingLiU" w:hAnsi="PMingLiU"/>
          <w:sz w:val="20"/>
          <w:szCs w:val="20"/>
          <w:color w:val="auto"/>
        </w:rPr>
        <w:t xml:space="preserve"> </w:t>
        <w:tab/>
        <w:t>2QH</w:t>
        <w:tab/>
        <w:t> 'RQH</w:t>
      </w:r>
      <w:r>
        <w:rPr>
          <w:rFonts w:ascii="Times New Roman" w:cs="Times New Roman" w:eastAsia="Times New Roman" w:hAnsi="Times New Roman"/>
          <w:sz w:val="25"/>
          <w:szCs w:val="25"/>
          <w:color w:val="auto"/>
          <w:vertAlign w:val="superscript"/>
        </w:rPr>
        <w:t>®</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 Has the potential to be compatible with our NovaCross</w:t>
      </w:r>
      <w:r>
        <w:rPr>
          <w:rFonts w:ascii="Times New Roman" w:cs="Times New Roman" w:eastAsia="Times New Roman" w:hAnsi="Times New Roman"/>
          <w:sz w:val="25"/>
          <w:szCs w:val="25"/>
          <w:color w:val="auto"/>
          <w:vertAlign w:val="superscript"/>
        </w:rPr>
        <w:t>®</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products or possibly other</w:t>
      </w:r>
    </w:p>
    <w:p>
      <w:pPr>
        <w:ind w:left="720"/>
        <w:spacing w:after="0"/>
        <w:rPr>
          <w:sz w:val="20"/>
          <w:szCs w:val="20"/>
          <w:color w:val="auto"/>
        </w:rPr>
      </w:pPr>
      <w:r>
        <w:rPr>
          <w:rFonts w:ascii="Times New Roman" w:cs="Times New Roman" w:eastAsia="Times New Roman" w:hAnsi="Times New Roman"/>
          <w:sz w:val="19"/>
          <w:szCs w:val="19"/>
          <w:color w:val="auto"/>
        </w:rPr>
        <w:t>instruments that combines guidewire and microcatheter into a single device. We are currently evaluating this</w:t>
      </w:r>
    </w:p>
    <w:p>
      <w:pPr>
        <w:spacing w:after="0" w:line="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combination in different applications.</w:t>
      </w:r>
    </w:p>
    <w:p>
      <w:pPr>
        <w:ind w:left="300"/>
        <w:spacing w:after="0"/>
        <w:tabs>
          <w:tab w:leader="none" w:pos="700" w:val="left"/>
        </w:tabs>
        <w:rPr>
          <w:sz w:val="20"/>
          <w:szCs w:val="20"/>
          <w:color w:val="auto"/>
        </w:rPr>
      </w:pPr>
      <w:r>
        <w:rPr>
          <w:rFonts w:ascii="PMingLiU" w:cs="PMingLiU" w:eastAsia="PMingLiU" w:hAnsi="PMingLiU"/>
          <w:sz w:val="17"/>
          <w:szCs w:val="17"/>
          <w:color w:val="auto"/>
        </w:rPr>
        <w:t xml:space="preserve"> </w:t>
      </w:r>
      <w:r>
        <w:rPr>
          <w:sz w:val="20"/>
          <w:szCs w:val="20"/>
          <w:color w:val="auto"/>
        </w:rPr>
        <w:tab/>
      </w:r>
      <w:r>
        <w:rPr>
          <w:rFonts w:ascii="PMingLiU" w:cs="PMingLiU" w:eastAsia="PMingLiU" w:hAnsi="PMingLiU"/>
          <w:sz w:val="17"/>
          <w:szCs w:val="17"/>
          <w:color w:val="auto"/>
        </w:rPr>
        <w:t>6WDWHRIWKHDUWPDQHXYHUDELOLW\</w:t>
      </w:r>
      <w:r>
        <w:rPr>
          <w:rFonts w:ascii="Times New Roman" w:cs="Times New Roman" w:eastAsia="Times New Roman" w:hAnsi="Times New Roman"/>
          <w:sz w:val="17"/>
          <w:szCs w:val="17"/>
          <w:color w:val="auto"/>
        </w:rPr>
        <w:t>Provides linear and rotational control of its guidewire, as well as linear and</w:t>
      </w:r>
    </w:p>
    <w:p>
      <w:pPr>
        <w:spacing w:after="0" w:line="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rotational control of a guide catheter, and the linear motion for an additional microcatheter (“over the wire”)</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device.</w:t>
      </w:r>
    </w:p>
    <w:p>
      <w:pPr>
        <w:ind w:left="300"/>
        <w:spacing w:after="0" w:line="231"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Compatibility with a wide range of commercially-available guidewires, microcatheters and guide-catheters.</w:t>
      </w:r>
    </w:p>
    <w:p>
      <w:pPr>
        <w:spacing w:after="0" w:line="1" w:lineRule="exact"/>
        <w:rPr>
          <w:sz w:val="20"/>
          <w:szCs w:val="20"/>
          <w:color w:val="auto"/>
        </w:rPr>
      </w:pPr>
    </w:p>
    <w:p>
      <w:pPr>
        <w:ind w:left="300"/>
        <w:spacing w:after="0"/>
        <w:tabs>
          <w:tab w:leader="none" w:pos="700" w:val="left"/>
        </w:tabs>
        <w:rPr>
          <w:sz w:val="20"/>
          <w:szCs w:val="20"/>
          <w:color w:val="auto"/>
        </w:rPr>
      </w:pPr>
      <w:r>
        <w:rPr>
          <w:rFonts w:ascii="PMingLiU" w:cs="PMingLiU" w:eastAsia="PMingLiU" w:hAnsi="PMingLiU"/>
          <w:sz w:val="18"/>
          <w:szCs w:val="18"/>
          <w:color w:val="auto"/>
        </w:rPr>
        <w:t xml:space="preserve"> </w:t>
        <w:tab/>
        <w:t>(QKDQFHGRSHUDWRUVDIHW\DQGFRPIRUW</w:t>
      </w:r>
      <w:r>
        <w:rPr>
          <w:rFonts w:ascii="Times New Roman" w:cs="Times New Roman" w:eastAsia="Times New Roman" w:hAnsi="Times New Roman"/>
          <w:sz w:val="18"/>
          <w:szCs w:val="18"/>
          <w:color w:val="auto"/>
        </w:rPr>
        <w:t>Aims to reduce exposure to ionizing radiation and reduce physical</w:t>
      </w:r>
    </w:p>
    <w:p>
      <w:pPr>
        <w:spacing w:after="0" w:line="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strain due to the need for heavy lead vests otherwise to be worn during procedures.</w:t>
      </w:r>
    </w:p>
    <w:p>
      <w:pPr>
        <w:ind w:left="300"/>
        <w:spacing w:after="0"/>
        <w:tabs>
          <w:tab w:leader="none" w:pos="700" w:val="left"/>
        </w:tabs>
        <w:rPr>
          <w:sz w:val="20"/>
          <w:szCs w:val="20"/>
          <w:color w:val="auto"/>
        </w:rPr>
      </w:pPr>
      <w:r>
        <w:rPr>
          <w:rFonts w:ascii="PMingLiU" w:cs="PMingLiU" w:eastAsia="PMingLiU" w:hAnsi="PMingLiU"/>
          <w:sz w:val="19"/>
          <w:szCs w:val="19"/>
          <w:color w:val="auto"/>
        </w:rPr>
        <w:t xml:space="preserve"> </w:t>
        <w:tab/>
        <w:t>(DVHRIXVH</w:t>
      </w:r>
      <w:r>
        <w:rPr>
          <w:rFonts w:ascii="Times New Roman" w:cs="Times New Roman" w:eastAsia="Times New Roman" w:hAnsi="Times New Roman"/>
          <w:sz w:val="19"/>
          <w:szCs w:val="19"/>
          <w:color w:val="auto"/>
        </w:rPr>
        <w:t>A remote control designed to be intuitive aims to simplify advanced procedures while shortening</w:t>
      </w:r>
    </w:p>
    <w:p>
      <w:pPr>
        <w:ind w:left="720"/>
        <w:spacing w:after="0" w:line="237" w:lineRule="auto"/>
        <w:rPr>
          <w:sz w:val="20"/>
          <w:szCs w:val="20"/>
          <w:color w:val="auto"/>
        </w:rPr>
      </w:pPr>
      <w:r>
        <w:rPr>
          <w:rFonts w:ascii="Times New Roman" w:cs="Times New Roman" w:eastAsia="Times New Roman" w:hAnsi="Times New Roman"/>
          <w:sz w:val="20"/>
          <w:szCs w:val="20"/>
          <w:color w:val="auto"/>
        </w:rPr>
        <w:t>the physician’s learning curve.</w:t>
      </w:r>
    </w:p>
    <w:p>
      <w:pPr>
        <w:spacing w:after="0" w:line="1" w:lineRule="exact"/>
        <w:rPr>
          <w:sz w:val="20"/>
          <w:szCs w:val="20"/>
          <w:color w:val="auto"/>
        </w:rPr>
      </w:pPr>
    </w:p>
    <w:p>
      <w:pPr>
        <w:ind w:left="300"/>
        <w:spacing w:after="0"/>
        <w:tabs>
          <w:tab w:leader="none" w:pos="700" w:val="left"/>
        </w:tabs>
        <w:rPr>
          <w:sz w:val="20"/>
          <w:szCs w:val="20"/>
          <w:color w:val="auto"/>
        </w:rPr>
      </w:pPr>
      <w:r>
        <w:rPr>
          <w:rFonts w:ascii="PMingLiU" w:cs="PMingLiU" w:eastAsia="PMingLiU" w:hAnsi="PMingLiU"/>
          <w:sz w:val="15"/>
          <w:szCs w:val="15"/>
          <w:color w:val="auto"/>
        </w:rPr>
        <w:t xml:space="preserve"> </w:t>
      </w:r>
      <w:r>
        <w:rPr>
          <w:sz w:val="20"/>
          <w:szCs w:val="20"/>
          <w:color w:val="auto"/>
        </w:rPr>
        <w:tab/>
      </w:r>
      <w:r>
        <w:rPr>
          <w:rFonts w:ascii="PMingLiU" w:cs="PMingLiU" w:eastAsia="PMingLiU" w:hAnsi="PMingLiU"/>
          <w:sz w:val="15"/>
          <w:szCs w:val="15"/>
          <w:color w:val="auto"/>
        </w:rPr>
        <w:t>7HOHPHGLFLQHFDSDELOLW\±0D\VHUYHDVDSODWIRUPIRUVXSSRUWLQJWHOH</w:t>
      </w:r>
      <w:r>
        <w:rPr>
          <w:rFonts w:ascii="Times New Roman" w:cs="Times New Roman" w:eastAsia="Times New Roman" w:hAnsi="Times New Roman"/>
          <w:sz w:val="15"/>
          <w:szCs w:val="15"/>
          <w:color w:val="auto"/>
        </w:rPr>
        <w:t>catheterization, carried out remotely</w:t>
      </w:r>
    </w:p>
    <w:p>
      <w:pPr>
        <w:spacing w:after="0" w:line="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by  highly  trained  specialists.  The  Company’s  research  collaboration  with  Corewell  Health</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has</w:t>
      </w:r>
    </w:p>
    <w:p>
      <w:pPr>
        <w:sectPr>
          <w:pgSz w:w="12240" w:h="15840" w:orient="portrait"/>
          <w:cols w:equalWidth="0" w:num="1">
            <w:col w:w="9360"/>
          </w:cols>
          <w:pgMar w:left="1440" w:top="1417" w:right="1440" w:bottom="450" w:gutter="0" w:footer="0" w:header="0"/>
        </w:sect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60"/>
          </w:cols>
          <w:pgMar w:left="1440" w:top="1417" w:right="1440" w:bottom="450" w:gutter="0" w:footer="0" w:header="0"/>
          <w:type w:val="continuous"/>
        </w:sectPr>
      </w:pPr>
    </w:p>
    <w:bookmarkStart w:id="6" w:name="page7"/>
    <w:bookmarkEnd w:id="6"/>
    <w:p>
      <w:pPr>
        <w:jc w:val="both"/>
        <w:ind w:left="720"/>
        <w:spacing w:after="0" w:line="212" w:lineRule="auto"/>
        <w:rPr>
          <w:sz w:val="20"/>
          <w:szCs w:val="20"/>
          <w:color w:val="auto"/>
        </w:rPr>
      </w:pPr>
      <w:r>
        <w:rPr>
          <w:rFonts w:ascii="Times New Roman" w:cs="Times New Roman" w:eastAsia="Times New Roman" w:hAnsi="Times New Roman"/>
          <w:sz w:val="20"/>
          <w:szCs w:val="20"/>
          <w:color w:val="auto"/>
        </w:rPr>
        <w:t>demonstrated the feasibility of using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to perform simulated cardiovascular interventional procedures across two sites within the Corewell Health</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system located 5 miles apart. The telesurgery feature of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is still being evaluated and is not covered under the Company’s 510(k) clearance with the U.S. Food and Drug Administration (“FDA”).</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 (MDR 2017/745) and supporting our future CE Mark approval, and ultimately allowing us to market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recent FDA quality system management regulations and its incorporation by reference of the ISO 13485 standard, we believe it will help streamline our transition into this revised FDA regulation.</w:t>
      </w:r>
    </w:p>
    <w:p>
      <w:pPr>
        <w:spacing w:after="0" w:line="20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On September 8, 2025, we announced that the FDA has granted 510(k) clearance for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and in November 2025, we announced the limited market release of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to selected high procedure volume regions where we already experienced preliminary demand for the product. The Company is planning for its full market release at the Society of Interventional Radiology conference in April 2026.</w:t>
      </w:r>
    </w:p>
    <w:p>
      <w:pPr>
        <w:spacing w:after="0" w:line="197"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 exploring the feasibility of integrating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with an imaging system to create an autonomous robotic system for endovascular procedures. In November 2025, we announced that Emory University Hospital adopted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for patient care, and that we are collaborating with it to establish an Endovascular Robotics Program in interventional radiology.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NovaCross</w:t>
      </w:r>
      <w:r>
        <w:rPr>
          <w:rFonts w:ascii="Times New Roman" w:cs="Times New Roman" w:eastAsia="Times New Roman" w:hAnsi="Times New Roman"/>
          <w:sz w:val="25"/>
          <w:szCs w:val="25"/>
          <w:b w:val="1"/>
          <w:bCs w:val="1"/>
          <w:i w:val="1"/>
          <w:iCs w:val="1"/>
          <w:color w:val="auto"/>
          <w:vertAlign w:val="superscript"/>
        </w:rPr>
        <w:t>®</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Overview</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Minimally Invasive Robot-Assisted Endovascular Interventions</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Precedence Research, the global market for robotic surgery is projected to continue its growth with a CAGR of 15.6% from 2025 to 2034.</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w:t>
      </w:r>
    </w:p>
    <w:p>
      <w:pPr>
        <w:sectPr>
          <w:pgSz w:w="12240" w:h="15840" w:orient="portrait"/>
          <w:cols w:equalWidth="0" w:num="1">
            <w:col w:w="9360"/>
          </w:cols>
          <w:pgMar w:left="1440" w:top="1421" w:right="1440" w:bottom="450" w:gutter="0" w:footer="0" w:header="0"/>
        </w:sect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1421" w:right="1440" w:bottom="450" w:gutter="0" w:footer="0" w:header="0"/>
          <w:type w:val="continuous"/>
        </w:sectPr>
      </w:pPr>
    </w:p>
    <w:bookmarkStart w:id="7" w:name="page8"/>
    <w:bookmarkEnd w:id="7"/>
    <w:p>
      <w:pPr>
        <w:jc w:val="both"/>
        <w:spacing w:after="0" w:line="244" w:lineRule="auto"/>
        <w:rPr>
          <w:sz w:val="20"/>
          <w:szCs w:val="20"/>
          <w:color w:val="auto"/>
        </w:rPr>
      </w:pPr>
      <w:r>
        <w:rPr>
          <w:rFonts w:ascii="Times New Roman" w:cs="Times New Roman" w:eastAsia="Times New Roman" w:hAnsi="Times New Roman"/>
          <w:sz w:val="20"/>
          <w:szCs w:val="20"/>
          <w:color w:val="auto"/>
        </w:rPr>
        <w:t>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which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spacing w:after="0" w:line="18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Microbot believes that with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System, it is well- positioned to deliver a value-added endovascular robotic system, with a focus on improving the ease and access and enhancing the safety of endovascular interventions.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Strategy</w:t>
      </w:r>
    </w:p>
    <w:p>
      <w:pPr>
        <w:spacing w:after="0" w:line="22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Microbot’s goal is to establish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System as the standard- 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spacing w:after="0" w:line="175" w:lineRule="exact"/>
        <w:rPr>
          <w:sz w:val="20"/>
          <w:szCs w:val="20"/>
          <w:color w:val="auto"/>
        </w:rPr>
      </w:pPr>
    </w:p>
    <w:p>
      <w:pPr>
        <w:ind w:left="300"/>
        <w:spacing w:after="0"/>
        <w:tabs>
          <w:tab w:leader="none" w:pos="700" w:val="left"/>
        </w:tabs>
        <w:rPr>
          <w:sz w:val="20"/>
          <w:szCs w:val="20"/>
          <w:color w:val="auto"/>
        </w:rPr>
      </w:pPr>
      <w:r>
        <w:rPr>
          <w:rFonts w:ascii="PMingLiU" w:cs="PMingLiU" w:eastAsia="PMingLiU" w:hAnsi="PMingLiU"/>
          <w:sz w:val="18"/>
          <w:szCs w:val="18"/>
          <w:color w:val="auto"/>
        </w:rPr>
        <w:t xml:space="preserve"> </w:t>
        <w:tab/>
        <w:t>([SDQG RXU JOREDO FRPPHUFLDO IRRWSULQW WR HVWDEOLVK /,%(57&lt;</w:t>
      </w:r>
      <w:r>
        <w:rPr>
          <w:rFonts w:ascii="Times New Roman" w:cs="Times New Roman" w:eastAsia="Times New Roman" w:hAnsi="Times New Roman"/>
          <w:sz w:val="23"/>
          <w:szCs w:val="23"/>
          <w:color w:val="auto"/>
          <w:vertAlign w:val="superscript"/>
        </w:rPr>
        <w:t>®</w:t>
      </w:r>
      <w:r>
        <w:rPr>
          <w:rFonts w:ascii="PMingLiU" w:cs="PMingLiU" w:eastAsia="PMingLiU" w:hAnsi="PMingLiU"/>
          <w:sz w:val="18"/>
          <w:szCs w:val="18"/>
          <w:color w:val="auto"/>
        </w:rPr>
        <w:t xml:space="preserve">  </w:t>
      </w:r>
      <w:r>
        <w:rPr>
          <w:rFonts w:ascii="Times New Roman" w:cs="Times New Roman" w:eastAsia="Times New Roman" w:hAnsi="Times New Roman"/>
          <w:sz w:val="18"/>
          <w:szCs w:val="18"/>
          <w:color w:val="auto"/>
        </w:rPr>
        <w:t>as the standard of care for robotic</w:t>
      </w:r>
    </w:p>
    <w:p>
      <w:pPr>
        <w:ind w:left="720"/>
        <w:spacing w:after="0"/>
        <w:rPr>
          <w:sz w:val="20"/>
          <w:szCs w:val="20"/>
          <w:color w:val="auto"/>
        </w:rPr>
      </w:pPr>
      <w:r>
        <w:rPr>
          <w:rFonts w:ascii="Times New Roman" w:cs="Times New Roman" w:eastAsia="Times New Roman" w:hAnsi="Times New Roman"/>
          <w:sz w:val="20"/>
          <w:szCs w:val="20"/>
          <w:color w:val="auto"/>
        </w:rPr>
        <w:t>endovascular procedures in targeted accounts. We seek to partner with Key Opinion Leaders (KOLs) to</w:t>
      </w:r>
    </w:p>
    <w:p>
      <w:pPr>
        <w:ind w:left="720"/>
        <w:spacing w:after="0"/>
        <w:rPr>
          <w:sz w:val="20"/>
          <w:szCs w:val="20"/>
          <w:color w:val="auto"/>
        </w:rPr>
      </w:pPr>
      <w:r>
        <w:rPr>
          <w:rFonts w:ascii="Times New Roman" w:cs="Times New Roman" w:eastAsia="Times New Roman" w:hAnsi="Times New Roman"/>
          <w:sz w:val="20"/>
          <w:szCs w:val="20"/>
          <w:color w:val="auto"/>
        </w:rPr>
        <w:t>conduct post-market clinical research and develop centers of excellence that are capable of educating and</w:t>
      </w:r>
    </w:p>
    <w:p>
      <w:pPr>
        <w:ind w:left="720"/>
        <w:spacing w:after="0" w:line="232" w:lineRule="auto"/>
        <w:rPr>
          <w:sz w:val="20"/>
          <w:szCs w:val="20"/>
          <w:color w:val="auto"/>
        </w:rPr>
      </w:pPr>
      <w:r>
        <w:rPr>
          <w:rFonts w:ascii="Times New Roman" w:cs="Times New Roman" w:eastAsia="Times New Roman" w:hAnsi="Times New Roman"/>
          <w:sz w:val="20"/>
          <w:szCs w:val="20"/>
          <w:color w:val="auto"/>
        </w:rPr>
        <w:t>training future users.</w:t>
      </w:r>
    </w:p>
    <w:p>
      <w:pPr>
        <w:ind w:left="300"/>
        <w:spacing w:after="0" w:line="196" w:lineRule="auto"/>
        <w:tabs>
          <w:tab w:leader="none" w:pos="700" w:val="left"/>
        </w:tabs>
        <w:rPr>
          <w:sz w:val="20"/>
          <w:szCs w:val="20"/>
          <w:color w:val="auto"/>
        </w:rPr>
      </w:pPr>
      <w:r>
        <w:rPr>
          <w:rFonts w:ascii="PMingLiU" w:cs="PMingLiU" w:eastAsia="PMingLiU" w:hAnsi="PMingLiU"/>
          <w:sz w:val="19"/>
          <w:szCs w:val="19"/>
          <w:color w:val="auto"/>
        </w:rPr>
        <w:t xml:space="preserve"> </w:t>
        <w:tab/>
        <w:t>&amp;RQWLQXHWRUHILQH/,%(57&lt;</w:t>
      </w:r>
      <w:r>
        <w:rPr>
          <w:rFonts w:ascii="Times New Roman" w:cs="Times New Roman" w:eastAsia="Times New Roman" w:hAnsi="Times New Roman"/>
          <w:sz w:val="24"/>
          <w:szCs w:val="24"/>
          <w:color w:val="auto"/>
          <w:vertAlign w:val="superscript"/>
        </w:rPr>
        <w:t>®</w:t>
      </w:r>
      <w:r>
        <w:rPr>
          <w:rFonts w:ascii="PMingLiU" w:cs="PMingLiU" w:eastAsia="PMingLiU" w:hAnsi="PMingLiU"/>
          <w:sz w:val="19"/>
          <w:szCs w:val="19"/>
          <w:color w:val="auto"/>
        </w:rPr>
        <w:t xml:space="preserve"> </w:t>
      </w:r>
      <w:r>
        <w:rPr>
          <w:rFonts w:ascii="Times New Roman" w:cs="Times New Roman" w:eastAsia="Times New Roman" w:hAnsi="Times New Roman"/>
          <w:sz w:val="19"/>
          <w:szCs w:val="19"/>
          <w:color w:val="auto"/>
        </w:rPr>
        <w:t>and develop additional surgical robotic solutions. Microbot also expects to</w:t>
      </w:r>
    </w:p>
    <w:p>
      <w:pPr>
        <w:ind w:left="720"/>
        <w:spacing w:after="0" w:line="238" w:lineRule="auto"/>
        <w:rPr>
          <w:sz w:val="20"/>
          <w:szCs w:val="20"/>
          <w:color w:val="auto"/>
        </w:rPr>
      </w:pPr>
      <w:r>
        <w:rPr>
          <w:rFonts w:ascii="Times New Roman" w:cs="Times New Roman" w:eastAsia="Times New Roman" w:hAnsi="Times New Roman"/>
          <w:sz w:val="20"/>
          <w:szCs w:val="20"/>
          <w:color w:val="auto"/>
        </w:rPr>
        <w:t>continue to innovate in the surgical robotics field by continuing to find ways of using its core technology to</w:t>
      </w:r>
    </w:p>
    <w:p>
      <w:pPr>
        <w:ind w:left="720"/>
        <w:spacing w:after="0"/>
        <w:rPr>
          <w:sz w:val="20"/>
          <w:szCs w:val="20"/>
          <w:color w:val="auto"/>
        </w:rPr>
      </w:pPr>
      <w:r>
        <w:rPr>
          <w:rFonts w:ascii="Times New Roman" w:cs="Times New Roman" w:eastAsia="Times New Roman" w:hAnsi="Times New Roman"/>
          <w:sz w:val="19"/>
          <w:szCs w:val="19"/>
          <w:color w:val="auto"/>
        </w:rPr>
        <w:t>solve unmet needs, with the overarching goal of providing a safer, more effective and more efficient surgical</w:t>
      </w:r>
    </w:p>
    <w:p>
      <w:pPr>
        <w:spacing w:after="0" w:line="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environment for patients and physicians.</w:t>
      </w:r>
    </w:p>
    <w:p>
      <w:pPr>
        <w:ind w:left="300"/>
        <w:spacing w:after="0"/>
        <w:tabs>
          <w:tab w:leader="none" w:pos="700" w:val="left"/>
        </w:tabs>
        <w:rPr>
          <w:sz w:val="20"/>
          <w:szCs w:val="20"/>
          <w:color w:val="auto"/>
        </w:rPr>
      </w:pPr>
      <w:r>
        <w:rPr>
          <w:rFonts w:ascii="PMingLiU" w:cs="PMingLiU" w:eastAsia="PMingLiU" w:hAnsi="PMingLiU"/>
          <w:sz w:val="15"/>
          <w:szCs w:val="15"/>
          <w:color w:val="auto"/>
        </w:rPr>
        <w:t xml:space="preserve"> </w:t>
      </w:r>
      <w:r>
        <w:rPr>
          <w:sz w:val="20"/>
          <w:szCs w:val="20"/>
          <w:color w:val="auto"/>
        </w:rPr>
        <w:tab/>
      </w:r>
      <w:r>
        <w:rPr>
          <w:rFonts w:ascii="PMingLiU" w:cs="PMingLiU" w:eastAsia="PMingLiU" w:hAnsi="PMingLiU"/>
          <w:sz w:val="15"/>
          <w:szCs w:val="15"/>
          <w:color w:val="auto"/>
        </w:rPr>
        <w:t>&amp;RQWLQXRXVO\LQYHVWLQUHVHDUFKDQGGHYHORSPHQW0LFURERW¶V</w:t>
      </w:r>
      <w:r>
        <w:rPr>
          <w:rFonts w:ascii="Times New Roman" w:cs="Times New Roman" w:eastAsia="Times New Roman" w:hAnsi="Times New Roman"/>
          <w:sz w:val="15"/>
          <w:szCs w:val="15"/>
          <w:color w:val="auto"/>
        </w:rPr>
        <w:t>most significant expense has historically been</w:t>
      </w:r>
    </w:p>
    <w:p>
      <w:pPr>
        <w:spacing w:after="0" w:line="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research and development, and Microbot expects to continue investing in research and development</w:t>
      </w:r>
    </w:p>
    <w:p>
      <w:pPr>
        <w:ind w:left="720"/>
        <w:spacing w:after="0" w:line="196" w:lineRule="auto"/>
        <w:rPr>
          <w:sz w:val="20"/>
          <w:szCs w:val="20"/>
          <w:color w:val="auto"/>
        </w:rPr>
      </w:pPr>
      <w:r>
        <w:rPr>
          <w:rFonts w:ascii="Times New Roman" w:cs="Times New Roman" w:eastAsia="Times New Roman" w:hAnsi="Times New Roman"/>
          <w:sz w:val="20"/>
          <w:szCs w:val="20"/>
          <w:color w:val="auto"/>
        </w:rPr>
        <w:t>activities, including expenses it expects to incur to improve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any other prototype products it</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may have from time to time in order to respond to clinical data, to develop additional applications using its</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technologies and to develop future product candidates.</w:t>
      </w:r>
    </w:p>
    <w:p>
      <w:pPr>
        <w:ind w:left="300"/>
        <w:spacing w:after="0"/>
        <w:tabs>
          <w:tab w:leader="none" w:pos="700" w:val="left"/>
        </w:tabs>
        <w:rPr>
          <w:sz w:val="20"/>
          <w:szCs w:val="20"/>
          <w:color w:val="auto"/>
        </w:rPr>
      </w:pPr>
      <w:r>
        <w:rPr>
          <w:rFonts w:ascii="PMingLiU" w:cs="PMingLiU" w:eastAsia="PMingLiU" w:hAnsi="PMingLiU"/>
          <w:sz w:val="15"/>
          <w:szCs w:val="15"/>
          <w:color w:val="auto"/>
        </w:rPr>
        <w:t xml:space="preserve"> </w:t>
      </w:r>
      <w:r>
        <w:rPr>
          <w:sz w:val="20"/>
          <w:szCs w:val="20"/>
          <w:color w:val="auto"/>
        </w:rPr>
        <w:tab/>
      </w:r>
      <w:r>
        <w:rPr>
          <w:rFonts w:ascii="PMingLiU" w:cs="PMingLiU" w:eastAsia="PMingLiU" w:hAnsi="PMingLiU"/>
          <w:sz w:val="15"/>
          <w:szCs w:val="15"/>
          <w:color w:val="auto"/>
        </w:rPr>
        <w:t>([SORUHSDUWQHUVKLSVIRUWKHLQWURGXFWLRQRI0LFURERW¶V</w:t>
      </w:r>
      <w:r>
        <w:rPr>
          <w:rFonts w:ascii="Times New Roman" w:cs="Times New Roman" w:eastAsia="Times New Roman" w:hAnsi="Times New Roman"/>
          <w:sz w:val="15"/>
          <w:szCs w:val="15"/>
          <w:color w:val="auto"/>
        </w:rPr>
        <w:t>products. In parallel to its efforts to establish direct</w:t>
      </w:r>
    </w:p>
    <w:p>
      <w:pPr>
        <w:spacing w:after="0" w:line="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sales and marketing capabilities, Microbot intends to continue its efforts on pursuing collaborations with</w:t>
      </w:r>
    </w:p>
    <w:p>
      <w:pPr>
        <w:ind w:left="720"/>
        <w:spacing w:after="0"/>
        <w:rPr>
          <w:sz w:val="20"/>
          <w:szCs w:val="20"/>
          <w:color w:val="auto"/>
        </w:rPr>
      </w:pPr>
      <w:r>
        <w:rPr>
          <w:rFonts w:ascii="Times New Roman" w:cs="Times New Roman" w:eastAsia="Times New Roman" w:hAnsi="Times New Roman"/>
          <w:sz w:val="20"/>
          <w:szCs w:val="20"/>
          <w:color w:val="auto"/>
        </w:rPr>
        <w:t>global medical device companies that have established sales and distribution networks. Microbot will seek</w:t>
      </w:r>
    </w:p>
    <w:p>
      <w:pPr>
        <w:ind w:left="720"/>
        <w:spacing w:after="0" w:line="238" w:lineRule="auto"/>
        <w:rPr>
          <w:sz w:val="20"/>
          <w:szCs w:val="20"/>
          <w:color w:val="auto"/>
        </w:rPr>
      </w:pPr>
      <w:r>
        <w:rPr>
          <w:rFonts w:ascii="Times New Roman" w:cs="Times New Roman" w:eastAsia="Times New Roman" w:hAnsi="Times New Roman"/>
          <w:sz w:val="20"/>
          <w:szCs w:val="20"/>
          <w:color w:val="auto"/>
        </w:rPr>
        <w:t>to enter collaborations and partnerships with strategic players that offer synergies with Microbot’s product</w:t>
      </w:r>
    </w:p>
    <w:p>
      <w:pPr>
        <w:ind w:left="720"/>
        <w:spacing w:after="0"/>
        <w:rPr>
          <w:sz w:val="20"/>
          <w:szCs w:val="20"/>
          <w:color w:val="auto"/>
        </w:rPr>
      </w:pPr>
      <w:r>
        <w:rPr>
          <w:rFonts w:ascii="Times New Roman" w:cs="Times New Roman" w:eastAsia="Times New Roman" w:hAnsi="Times New Roman"/>
          <w:sz w:val="20"/>
          <w:szCs w:val="20"/>
          <w:color w:val="auto"/>
        </w:rPr>
        <w:t>candidates and expertise.</w:t>
      </w:r>
    </w:p>
    <w:p>
      <w:pPr>
        <w:spacing w:after="0" w:line="1" w:lineRule="exact"/>
        <w:rPr>
          <w:sz w:val="20"/>
          <w:szCs w:val="20"/>
          <w:color w:val="auto"/>
        </w:rPr>
      </w:pPr>
    </w:p>
    <w:p>
      <w:pPr>
        <w:ind w:left="300"/>
        <w:spacing w:after="0"/>
        <w:tabs>
          <w:tab w:leader="none" w:pos="700" w:val="left"/>
        </w:tabs>
        <w:rPr>
          <w:sz w:val="20"/>
          <w:szCs w:val="20"/>
          <w:color w:val="auto"/>
        </w:rPr>
      </w:pPr>
      <w:r>
        <w:rPr>
          <w:rFonts w:ascii="PMingLiU" w:cs="PMingLiU" w:eastAsia="PMingLiU" w:hAnsi="PMingLiU"/>
          <w:sz w:val="15"/>
          <w:szCs w:val="15"/>
          <w:color w:val="auto"/>
        </w:rPr>
        <w:t xml:space="preserve"> </w:t>
      </w:r>
      <w:r>
        <w:rPr>
          <w:sz w:val="20"/>
          <w:szCs w:val="20"/>
          <w:color w:val="auto"/>
        </w:rPr>
        <w:tab/>
      </w:r>
      <w:r>
        <w:rPr>
          <w:rFonts w:ascii="PMingLiU" w:cs="PMingLiU" w:eastAsia="PMingLiU" w:hAnsi="PMingLiU"/>
          <w:sz w:val="15"/>
          <w:szCs w:val="15"/>
          <w:color w:val="auto"/>
        </w:rPr>
        <w:t>6HHNDGGLWLRQDO,3DQGWHFKQRORJLHVWRFRPSOHPHQWDQGVWUHQJWKHQ0LFURERW¶V</w:t>
      </w:r>
      <w:r>
        <w:rPr>
          <w:rFonts w:ascii="Times New Roman" w:cs="Times New Roman" w:eastAsia="Times New Roman" w:hAnsi="Times New Roman"/>
          <w:sz w:val="15"/>
          <w:szCs w:val="15"/>
          <w:color w:val="auto"/>
        </w:rPr>
        <w:t>current IP portfolio. Microbot</w:t>
      </w:r>
    </w:p>
    <w:p>
      <w:pPr>
        <w:spacing w:after="0" w:line="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intends to continue exploring new technologies, IP and know-how to add to its current portfolio through</w:t>
      </w:r>
    </w:p>
    <w:p>
      <w:pPr>
        <w:ind w:left="720"/>
        <w:spacing w:after="0"/>
        <w:rPr>
          <w:sz w:val="20"/>
          <w:szCs w:val="20"/>
          <w:color w:val="auto"/>
        </w:rPr>
      </w:pPr>
      <w:r>
        <w:rPr>
          <w:rFonts w:ascii="Times New Roman" w:cs="Times New Roman" w:eastAsia="Times New Roman" w:hAnsi="Times New Roman"/>
          <w:sz w:val="20"/>
          <w:szCs w:val="20"/>
          <w:color w:val="auto"/>
        </w:rPr>
        <w:t>licensing, mergers and/or acquisitions and to allow Microbot to enter new spaces and strengthen its overall</w:t>
      </w:r>
    </w:p>
    <w:p>
      <w:pPr>
        <w:ind w:left="720"/>
        <w:spacing w:after="0"/>
        <w:rPr>
          <w:sz w:val="20"/>
          <w:szCs w:val="20"/>
          <w:color w:val="auto"/>
        </w:rPr>
      </w:pPr>
      <w:r>
        <w:rPr>
          <w:rFonts w:ascii="Times New Roman" w:cs="Times New Roman" w:eastAsia="Times New Roman" w:hAnsi="Times New Roman"/>
          <w:sz w:val="20"/>
          <w:szCs w:val="20"/>
          <w:color w:val="auto"/>
        </w:rPr>
        <w:t>product portfolio.</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1421" w:right="1440" w:bottom="45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LIBERTY</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Competitive Landscape</w:t>
      </w:r>
    </w:p>
    <w:p>
      <w:pPr>
        <w:spacing w:after="0" w:line="6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We believe the main competitor to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is the CorPath GRX vascular robotics system by Corindus Vascular Robotics, a Siemens Healthineers company. To our knowledge, CorPath GRX system is FDA -approved and CE-marked for percutaneous coronary and vascular procedures, and is CE-marked for neurovascular interventions. Another competitor is R-One+ by Robocath (CE Marked, NMPA, South Africa for PCI only), and we believe there are many other competitors in the endovascular robotics space that are current in development. We believe these systems of our competitors that we have identified have drawbacks, such as limited maneuverability, the requirement to exchange and use multiple expensive surgical tools, requiring a larger space to operate, being cumbersome to set-up and operate, and/or requiring significant upfront capital expenditures. We also expect that we could be competing with other technologies that are in different stages of development, including preclinical, clinical and without CE/FDA approvals, such as LN Robotics (approved in Korea for coronary interventions) Nanoflex Robotics, UAB Inovatyvi medicina and Endoways, of which additional competitive data will be required to better determine their respective positioning in the competitive landscape.</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 party payors; and have long -term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11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 xml:space="preserve">The LIBERTY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System’s core technology is co -owned by Microbot Medical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The Technion Research and Development Foundation Ltd., or TRDF. The NovaCross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29 patents issued/allowed and 52 patent applications pending worldwide. Microbot also holds 14 design patents issued/allowed worldwide. It also has registered trademarks in Israel, Europe, UK and the U.S. relating to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and also has trademarks relating to its proprietary Microbot Medical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wordmark registered in the U.S., Israel, Europe, and UK, and Microbot Medical logo registered in Israel, Europe, and UK. Microbot also has a trademark relating to the Liberty Endovascular Robotic Surgical System logo registered in Israel and pending in the U.S., Europe, UK, and Japan. In addition to having registered trademarks for the “One &amp; Done” wordmark in Israel, Europe, the U.S., UK, and Japan. Microbot also has a registered trademark in the U.S. for the NovaCross trademark.</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w:t>
      </w:r>
    </w:p>
    <w:p>
      <w:pPr>
        <w:sectPr>
          <w:pgSz w:w="12240" w:h="15840" w:orient="portrait"/>
          <w:cols w:equalWidth="0" w:num="1">
            <w:col w:w="9360"/>
          </w:cols>
          <w:pgMar w:left="1440" w:top="1417" w:right="1440" w:bottom="450" w:gutter="0" w:footer="0" w:header="0"/>
        </w:sect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1417" w:right="1440" w:bottom="450" w:gutter="0" w:footer="0" w:header="0"/>
          <w:type w:val="continuous"/>
        </w:sectPr>
      </w:pPr>
    </w:p>
    <w:bookmarkStart w:id="9" w:name="page10"/>
    <w:bookmarkEnd w:id="9"/>
    <w:p>
      <w:pPr>
        <w:jc w:val="both"/>
        <w:spacing w:after="0" w:line="249" w:lineRule="auto"/>
        <w:rPr>
          <w:sz w:val="20"/>
          <w:szCs w:val="20"/>
          <w:color w:val="auto"/>
        </w:rPr>
      </w:pPr>
      <w:r>
        <w:rPr>
          <w:rFonts w:ascii="Times New Roman" w:cs="Times New Roman" w:eastAsia="Times New Roman" w:hAnsi="Times New Roman"/>
          <w:sz w:val="20"/>
          <w:szCs w:val="20"/>
          <w:color w:val="auto"/>
        </w:rPr>
        <w:t>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medical device industry in general has been characterized by substantial litigation regarding patents and other intellectual property rights. Any such claims, regardless of their merit, could be time- 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the Technion</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related cost reductions, we ceased research and development activities relating to the SCS and TipCat platforms. As a result, we returned intellectual property relating to the SCS (ViRob) and TipCat to TRDF.</w:t>
      </w:r>
    </w:p>
    <w:p>
      <w:pPr>
        <w:spacing w:after="0" w:line="19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0"/>
          <w:szCs w:val="20"/>
          <w:color w:val="auto"/>
        </w:rPr>
        <w:t>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which was invented by employees of Microbot together with Professor Moshe Shoham of the Technion, in his capacity as a consultant to Microbot, is co-owned by Microbot and TRDF, and the parties established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as a “Joint Invention” in accordance with the terms of the License Agreement. Once the Joint Invention is established pursuant to the terms of the License Agreement, Microbot will have to pay TRDF royalties of between 1.5% and 3.0% of net sales of products covered by this Joint Invention.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Microbot’s research and development programs are generally pursued by engineers and scientists employed by Microbot in its offices in Israel on a full-time or hourly basis or as consultants, or through partnerships with industry leaders in manufacturing and design and researchers in academia. Microbot also works with subcontractors in developing specific components of its technologies.</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Microbot Israel has received grants from the Israeli Innovation Authority (“IIA”) for participation in research and development since 2013 through December 31, 2025 totaling approximately $2.5 million. This includes amounts received of approximately $518,000, which is a portion of an additional grant from the IIA in the amount of approximately NIS 2,153,000 (approximately $673,000) approved by the IIA on July 15, 2025, to further finance the development of the manufacturing process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1421" w:right="1440" w:bottom="450" w:gutter="0" w:footer="0" w:header="0"/>
          <w:type w:val="continuous"/>
        </w:sectPr>
      </w:pPr>
    </w:p>
    <w:bookmarkStart w:id="10" w:name="page11"/>
    <w:bookmarkEnd w:id="10"/>
    <w:p>
      <w:pPr>
        <w:jc w:val="both"/>
        <w:spacing w:after="0" w:line="277" w:lineRule="auto"/>
        <w:rPr>
          <w:sz w:val="20"/>
          <w:szCs w:val="20"/>
          <w:color w:val="auto"/>
        </w:rPr>
      </w:pPr>
      <w:r>
        <w:rPr>
          <w:rFonts w:ascii="Times New Roman" w:cs="Times New Roman" w:eastAsia="Times New Roman" w:hAnsi="Times New Roman"/>
          <w:sz w:val="20"/>
          <w:szCs w:val="20"/>
          <w:color w:val="auto"/>
        </w:rPr>
        <w:t>As a result of the agreement with Nitiloop, on October 6, 2022, Microbot Israel took over the liability to repay Nitiloop’s IIA grants in the aggregate amount of approximately $925,000.</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relation to the IIA grants described above, the Company is obligated to pay royalties amounting to 3%-5% of its future sales of the products relating to such grants.</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grants are linked to the exchange rate of the dollar to the New Israeli Shekel and bears interest of SOFR per year (SOFR is a benchmark interest rate which replaced LIBOR).</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As of December 31, 2025 the Company received grants from the Ministry of Economy of the State of Israel in the amount of approximately $50,000, to further finance the marketing activities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in the U.S. market.</w:t>
      </w:r>
    </w:p>
    <w:p>
      <w:pPr>
        <w:spacing w:after="0" w:line="1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0"/>
          <w:szCs w:val="20"/>
          <w:color w:val="auto"/>
        </w:rPr>
        <w:t>In relation with the Ministry of Economy grant, the Company is obligated to pay royalties amounting to 3% of future sales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up to the grant amount plus interest.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Microbot expects to continue to access government funding in the future to the extent available.</w:t>
      </w:r>
    </w:p>
    <w:p>
      <w:pPr>
        <w:spacing w:after="0" w:line="23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For the fiscal years ended December 31, 2025 and 2024, respectively, Microbot incurred research and development expenses, net of approximately $6,283,000 and 6,630,000.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Microbot does not have any manufacturing facilities.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completion of all molds during 2026.</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On August 4, 2023, we signed a Turn-Key Manufacturing Agreement with a subcontractor that is suited to assemble and test our products under applicable regulatory requirements and regulations. As of the filing date of this Annual Report on Form 10-K, we are working with the subcontractor to increase its production capacity, as we plan for the full market release of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expected in April 2026.</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Commercialization</w:t>
      </w:r>
    </w:p>
    <w:p>
      <w:pPr>
        <w:spacing w:after="0" w:line="23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In 2025, Microbot established a sales, marketing and product distribution infrastructure for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System in the U.S.</w:t>
      </w:r>
    </w:p>
    <w:p>
      <w:pPr>
        <w:spacing w:after="0" w:line="19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In November 2025, we announced the limited market release of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to selected high procedure volume regions where we already experienced preliminary demand for the product. Since then, we have announced that Emory University Hospital and Tampa General Hospital have adopted LIBERTY for patient care. The Company is planning for its full market release at the Society of Interventional Radiology conference in April 2026.</w:t>
      </w:r>
    </w:p>
    <w:p>
      <w:pPr>
        <w:spacing w:after="0" w:line="19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Microbot has not yet developed a commercial strategy outside of the United States, but it most likely would utilize distributors and strategic partnerships.</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1421" w:right="1440" w:bottom="45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Middle East Conflict</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Subsequent to the reporting period, on February 28, 2026, an Israeli military operation referred to as “Epic-Fury” commenced with a large -scale attack on Iran carried out in coordination with the United States. In response, Iran launched a counterattack that included the firing of ballistic missiles and unmanned aerial vehicles toward military and civilian targets in Israel. Additionally, Hezbollah, a terrorist organization in Lebanon, joined the attacks against Israel and Israel has started military operations in Lebanon.</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As a result, a special state of emergency was declared in Israel, which included, among other things, the closure of Israel’s airspace, restrictions on public gatherings, temporary closures and/or reduced operating hours of businesses, and the mobilization of military reservists, which have resulted in reduced economic activity.</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have considered various ongoing risks relating to these and other Israeli military operations and related matters, including:</w:t>
      </w:r>
    </w:p>
    <w:p>
      <w:pPr>
        <w:spacing w:after="0" w:line="158" w:lineRule="exact"/>
        <w:rPr>
          <w:sz w:val="20"/>
          <w:szCs w:val="20"/>
          <w:color w:val="auto"/>
        </w:rPr>
      </w:pPr>
    </w:p>
    <w:p>
      <w:pPr>
        <w:ind w:left="720" w:hanging="419"/>
        <w:spacing w:after="0" w:line="247"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That some of our Israeli subcontractors, vendors, suppliers and other companies in which the Company relies, may not be fully active and operational, as instructed by the relevant authorities;</w:t>
      </w:r>
    </w:p>
    <w:p>
      <w:pPr>
        <w:ind w:left="300"/>
        <w:spacing w:after="0" w:line="232"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A slowdown in the number of international flights in and out of Israel;</w:t>
      </w:r>
    </w:p>
    <w:p>
      <w:pPr>
        <w:spacing w:after="0" w:line="1" w:lineRule="exact"/>
        <w:rPr>
          <w:sz w:val="20"/>
          <w:szCs w:val="20"/>
          <w:color w:val="auto"/>
        </w:rPr>
      </w:pPr>
    </w:p>
    <w:p>
      <w:pPr>
        <w:ind w:left="300"/>
        <w:spacing w:after="0"/>
        <w:tabs>
          <w:tab w:leader="none" w:pos="700" w:val="left"/>
        </w:tabs>
        <w:rPr>
          <w:sz w:val="20"/>
          <w:szCs w:val="20"/>
          <w:color w:val="auto"/>
        </w:rPr>
      </w:pPr>
      <w:r>
        <w:rPr>
          <w:rFonts w:ascii="PMingLiU" w:cs="PMingLiU" w:eastAsia="PMingLiU" w:hAnsi="PMingLiU"/>
          <w:sz w:val="17"/>
          <w:szCs w:val="17"/>
          <w:color w:val="auto"/>
        </w:rPr>
        <w:t xml:space="preserve"> </w:t>
      </w:r>
      <w:r>
        <w:rPr>
          <w:sz w:val="20"/>
          <w:szCs w:val="20"/>
          <w:color w:val="auto"/>
        </w:rPr>
        <w:tab/>
      </w:r>
      <w:r>
        <w:rPr>
          <w:rFonts w:ascii="PMingLiU" w:cs="PMingLiU" w:eastAsia="PMingLiU" w:hAnsi="PMingLiU"/>
          <w:sz w:val="17"/>
          <w:szCs w:val="17"/>
          <w:color w:val="auto"/>
        </w:rPr>
        <w:t>7KHGHFUHDVLQJLQWHUQDWLRQDOUHJDUGIRU,VUDHOL</w:t>
      </w:r>
      <w:r>
        <w:rPr>
          <w:rFonts w:ascii="Times New Roman" w:cs="Times New Roman" w:eastAsia="Times New Roman" w:hAnsi="Times New Roman"/>
          <w:sz w:val="17"/>
          <w:szCs w:val="17"/>
          <w:color w:val="auto"/>
        </w:rPr>
        <w:t>based companies in certain quarters, including as a result of</w:t>
      </w:r>
    </w:p>
    <w:p>
      <w:pPr>
        <w:spacing w:after="0" w:line="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Israeli government’s policies in Gaza and the West Bank in particular, and the Middle East in general;</w:t>
      </w:r>
    </w:p>
    <w:p>
      <w:pPr>
        <w:ind w:left="720"/>
        <w:spacing w:after="0" w:line="238" w:lineRule="auto"/>
        <w:rPr>
          <w:sz w:val="20"/>
          <w:szCs w:val="20"/>
          <w:color w:val="auto"/>
        </w:rPr>
      </w:pPr>
      <w:r>
        <w:rPr>
          <w:rFonts w:ascii="Times New Roman" w:cs="Times New Roman" w:eastAsia="Times New Roman" w:hAnsi="Times New Roman"/>
          <w:sz w:val="20"/>
          <w:szCs w:val="20"/>
          <w:color w:val="auto"/>
        </w:rPr>
        <w:t>and</w:t>
      </w:r>
    </w:p>
    <w:p>
      <w:pPr>
        <w:spacing w:after="0" w:line="1" w:lineRule="exact"/>
        <w:rPr>
          <w:sz w:val="20"/>
          <w:szCs w:val="20"/>
          <w:color w:val="auto"/>
        </w:rPr>
      </w:pPr>
    </w:p>
    <w:p>
      <w:pPr>
        <w:ind w:left="300"/>
        <w:spacing w:after="0"/>
        <w:tabs>
          <w:tab w:leader="none" w:pos="700" w:val="left"/>
        </w:tabs>
        <w:rPr>
          <w:sz w:val="20"/>
          <w:szCs w:val="20"/>
          <w:color w:val="auto"/>
        </w:rPr>
      </w:pPr>
      <w:r>
        <w:rPr>
          <w:rFonts w:ascii="PMingLiU" w:cs="PMingLiU" w:eastAsia="PMingLiU" w:hAnsi="PMingLiU"/>
          <w:sz w:val="17"/>
          <w:szCs w:val="17"/>
          <w:color w:val="auto"/>
        </w:rPr>
        <w:t xml:space="preserve"> </w:t>
        <w:tab/>
        <w:t>3RVVLEOHDQGDFWXDOER\FRWWVRI,VUDHODQG,VUDHOL</w:t>
      </w:r>
      <w:r>
        <w:rPr>
          <w:rFonts w:ascii="Times New Roman" w:cs="Times New Roman" w:eastAsia="Times New Roman" w:hAnsi="Times New Roman"/>
          <w:sz w:val="17"/>
          <w:szCs w:val="17"/>
          <w:color w:val="auto"/>
        </w:rPr>
        <w:t>based companies, which may adversely affect our ability to</w:t>
      </w:r>
    </w:p>
    <w:p>
      <w:pPr>
        <w:spacing w:after="0" w:line="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do business in certain jurisdictions or with certain industry groups or potential customers, among others.</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We closely monitor how these and other Israeli military operations and related activities could adversely affect our anticipated milestones and our Israel-based activities to support future commercial, clinical and regulatory milestones, including our ability to import materials that are required to construct our LIBERTY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devices and to ship them outside of Israel. In addition, we are also monitoring how negative international reaction to the events in Gaza, the West Bank, Iran and elsewhere in the Middle East could create a corresponding negative perception of companies with Israeli operations, which if broad enough, could negatively impact our business. As of the filing date of this Annual Report on Form 10-K, we have determined that there have not been any materially adverse effects on our business or operations, but we continue to monitor the situation, as in the event that the situation escalates into an even greater regional conflict or our Israeli facilities are damaged as a result of hostile actions, or hostilities otherwise disrupt our Israeli office’s support of our commercial, clinical and regulatory activities, our Israeli operations could be materially and adversely affected. We do not have any specific contingency plans in the event of any such escalation or change.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Microbot’s medical technology products and operations are subject to extensive regulation in the United States and other countries. Most notably, Microbot’s products sold in the United States will be subject to the Federal Food, Drug, and Cosmetic Act (FDCA) as implemented and enforced by the U.S. Food and Drug Administration.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Foreign countries where Microbot wishes to sell its products may require similar or more onerous approvals to manufacture or market its products. Government agencies in those countries also enforce laws and regulations that</w:t>
      </w:r>
    </w:p>
    <w:p>
      <w:pPr>
        <w:sectPr>
          <w:pgSz w:w="12240" w:h="15840" w:orient="portrait"/>
          <w:cols w:equalWidth="0" w:num="1">
            <w:col w:w="9360"/>
          </w:cols>
          <w:pgMar w:left="1440" w:top="1417" w:right="1440" w:bottom="450" w:gutter="0" w:footer="0" w:header="0"/>
        </w:sect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1417" w:right="1440" w:bottom="450" w:gutter="0" w:footer="0" w:header="0"/>
          <w:type w:val="continuous"/>
        </w:sectPr>
      </w:pPr>
    </w:p>
    <w:bookmarkStart w:id="12" w:name="page13"/>
    <w:bookmarkEnd w:id="12"/>
    <w:p>
      <w:pPr>
        <w:jc w:val="both"/>
        <w:spacing w:after="0" w:line="304" w:lineRule="auto"/>
        <w:rPr>
          <w:sz w:val="20"/>
          <w:szCs w:val="20"/>
          <w:color w:val="auto"/>
        </w:rPr>
      </w:pPr>
      <w:r>
        <w:rPr>
          <w:rFonts w:ascii="Times New Roman" w:cs="Times New Roman" w:eastAsia="Times New Roman" w:hAnsi="Times New Roman"/>
          <w:sz w:val="19"/>
          <w:szCs w:val="19"/>
          <w:color w:val="auto"/>
        </w:rPr>
        <w:t>govern the development, testing, manufacturing, labeling, advertising, marketing and distribution, and market surveillance of medical device products. These regulatory requirements can change rapidly with relatively short notice.</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 -specific government regulations that would govern its products, if and when they are developed for commercial use.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Regulation</w:t>
      </w:r>
    </w:p>
    <w:p>
      <w:pPr>
        <w:spacing w:after="0" w:line="23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FDA governs the following activities that Microbot performs, or that are performed on its behalf, to ensure that medical products distributed domestically or exported internationally are safe and effective for their intended uses:</w:t>
      </w:r>
    </w:p>
    <w:p>
      <w:pPr>
        <w:spacing w:after="0" w:line="148" w:lineRule="exact"/>
        <w:rPr>
          <w:sz w:val="20"/>
          <w:szCs w:val="20"/>
          <w:color w:val="auto"/>
        </w:rPr>
      </w:pPr>
    </w:p>
    <w:p>
      <w:pPr>
        <w:ind w:left="300"/>
        <w:spacing w:after="0" w:line="268"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product design, and development;</w:t>
      </w:r>
    </w:p>
    <w:p>
      <w:pPr>
        <w:ind w:left="300" w:right="5100"/>
        <w:spacing w:after="0" w:line="231"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product safety, testing, labeling and storage; </w:t>
      </w: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record keeping procedures; and</w:t>
      </w:r>
    </w:p>
    <w:p>
      <w:pPr>
        <w:ind w:left="300"/>
        <w:spacing w:after="0" w:line="237"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product marketing.</w:t>
      </w:r>
    </w:p>
    <w:p>
      <w:pPr>
        <w:spacing w:after="0" w:line="19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There are numerous FDA regulatory requirements governing the approval or clearance and subsequent commercial marketing of Microbot’s products. These include:</w:t>
      </w:r>
    </w:p>
    <w:p>
      <w:pPr>
        <w:spacing w:after="0" w:line="158" w:lineRule="exact"/>
        <w:rPr>
          <w:sz w:val="20"/>
          <w:szCs w:val="20"/>
          <w:color w:val="auto"/>
        </w:rPr>
      </w:pPr>
    </w:p>
    <w:p>
      <w:pPr>
        <w:jc w:val="both"/>
        <w:ind w:left="720" w:hanging="419"/>
        <w:spacing w:after="0" w:line="247"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the timely submission of product listing and establishment registration information, along with associated establishment user fees;</w:t>
      </w:r>
    </w:p>
    <w:p>
      <w:pPr>
        <w:spacing w:after="0" w:line="2" w:lineRule="exact"/>
        <w:rPr>
          <w:sz w:val="20"/>
          <w:szCs w:val="20"/>
          <w:color w:val="auto"/>
        </w:rPr>
      </w:pPr>
    </w:p>
    <w:p>
      <w:pPr>
        <w:jc w:val="both"/>
        <w:ind w:left="720" w:hanging="419"/>
        <w:spacing w:after="0" w:line="236"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continued compliance with the Quality Management System Regulation, or QMSR, which require specification developers and manufacturers, including third-party manufacturers, to follow stringent design, testing, control, documentation and other quality assurance procedures during all aspects of the manufacturing process, and incorporates as a reference the ISO 13485 standard for medical device;</w:t>
      </w:r>
    </w:p>
    <w:p>
      <w:pPr>
        <w:spacing w:after="0" w:line="2" w:lineRule="exact"/>
        <w:rPr>
          <w:sz w:val="20"/>
          <w:szCs w:val="20"/>
          <w:color w:val="auto"/>
        </w:rPr>
      </w:pPr>
    </w:p>
    <w:p>
      <w:pPr>
        <w:jc w:val="both"/>
        <w:ind w:left="720" w:hanging="419"/>
        <w:spacing w:after="0" w:line="233"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labeling regulations and FDA prohibitions against the promotion of products for uncleared, unapproved or off-label use or indication;</w:t>
      </w:r>
    </w:p>
    <w:p>
      <w:pPr>
        <w:spacing w:after="0" w:line="1" w:lineRule="exact"/>
        <w:rPr>
          <w:sz w:val="20"/>
          <w:szCs w:val="20"/>
          <w:color w:val="auto"/>
        </w:rPr>
      </w:pPr>
    </w:p>
    <w:p>
      <w:pPr>
        <w:jc w:val="both"/>
        <w:ind w:left="720" w:hanging="419"/>
        <w:spacing w:after="0" w:line="232"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clearance or approval of product modifications that could significantly affect the safety or effectiveness of the device or that would constitute a major change in intended use;</w:t>
      </w:r>
    </w:p>
    <w:p>
      <w:pPr>
        <w:spacing w:after="0" w:line="1" w:lineRule="exact"/>
        <w:rPr>
          <w:sz w:val="20"/>
          <w:szCs w:val="20"/>
          <w:color w:val="auto"/>
        </w:rPr>
      </w:pPr>
    </w:p>
    <w:p>
      <w:pPr>
        <w:jc w:val="both"/>
        <w:ind w:left="720" w:hanging="419"/>
        <w:spacing w:after="0" w:line="236"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4" w:lineRule="exact"/>
        <w:rPr>
          <w:sz w:val="20"/>
          <w:szCs w:val="20"/>
          <w:color w:val="auto"/>
        </w:rPr>
      </w:pPr>
    </w:p>
    <w:p>
      <w:pPr>
        <w:jc w:val="both"/>
        <w:ind w:left="720" w:hanging="419"/>
        <w:spacing w:after="0" w:line="232"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adequate use of the Corrective and Preventive Actions process to identify and correct or prevent significant systemic failures of products or processes or in trends which suggest same;</w:t>
      </w:r>
    </w:p>
    <w:p>
      <w:pPr>
        <w:ind w:left="300"/>
        <w:spacing w:after="0" w:line="232"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post-approval restrictions or conditions, including post-approval study commitments;</w:t>
      </w:r>
    </w:p>
    <w:p>
      <w:pPr>
        <w:ind w:left="720" w:hanging="419"/>
        <w:spacing w:after="0" w:line="227" w:lineRule="auto"/>
        <w:tabs>
          <w:tab w:leader="none" w:pos="700" w:val="left"/>
        </w:tabs>
        <w:rPr>
          <w:sz w:val="20"/>
          <w:szCs w:val="20"/>
          <w:color w:val="auto"/>
        </w:rPr>
      </w:pPr>
      <w:r>
        <w:rPr>
          <w:rFonts w:ascii="PMingLiU" w:cs="PMingLiU" w:eastAsia="PMingLiU" w:hAnsi="PMingLiU"/>
          <w:sz w:val="20"/>
          <w:szCs w:val="20"/>
          <w:color w:val="auto"/>
        </w:rPr>
        <w:t xml:space="preserve"> </w:t>
        <w:tab/>
        <w:t>SRVW</w:t>
      </w:r>
      <w:r>
        <w:rPr>
          <w:rFonts w:ascii="Times New Roman" w:cs="Times New Roman" w:eastAsia="Times New Roman" w:hAnsi="Times New Roman"/>
          <w:sz w:val="20"/>
          <w:szCs w:val="20"/>
          <w:color w:val="auto"/>
        </w:rPr>
        <w:t>market surveillance regulations, which apply when necessary to protect the public health or to provide</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additional safety and effectiveness data for the device; and</w:t>
      </w:r>
    </w:p>
    <w:p>
      <w:pPr>
        <w:ind w:left="300"/>
        <w:spacing w:after="0" w:line="238"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notices of correction or removal and recall regulations.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7" w:lineRule="exact"/>
        <w:rPr>
          <w:sz w:val="20"/>
          <w:szCs w:val="20"/>
          <w:color w:val="auto"/>
        </w:rPr>
      </w:pPr>
    </w:p>
    <w:p>
      <w:pPr>
        <w:jc w:val="both"/>
        <w:ind w:left="720" w:hanging="419"/>
        <w:spacing w:after="0" w:line="245"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2" w:lineRule="exact"/>
        <w:rPr>
          <w:sz w:val="20"/>
          <w:szCs w:val="20"/>
          <w:color w:val="auto"/>
        </w:rPr>
      </w:pPr>
    </w:p>
    <w:p>
      <w:pPr>
        <w:jc w:val="both"/>
        <w:ind w:left="720" w:hanging="419"/>
        <w:spacing w:after="0" w:line="233" w:lineRule="auto"/>
        <w:tabs>
          <w:tab w:leader="none" w:pos="700" w:val="left"/>
        </w:tabs>
        <w:rPr>
          <w:sz w:val="20"/>
          <w:szCs w:val="20"/>
          <w:color w:val="auto"/>
        </w:rPr>
      </w:pPr>
      <w:r>
        <w:rPr>
          <w:rFonts w:ascii="PMingLiU" w:cs="PMingLiU" w:eastAsia="PMingLiU" w:hAnsi="PMingLiU"/>
          <w:sz w:val="20"/>
          <w:szCs w:val="20"/>
          <w:color w:val="auto"/>
        </w:rPr>
        <w:t xml:space="preserve"> </w:t>
        <w:tab/>
        <w:t>&amp;ODVV,,GHYLFHVZKLFKDUHPRGHUDWHULVNDQGJHQHUDOO\UHTXLUHNRUNGH</w:t>
      </w:r>
      <w:r>
        <w:rPr>
          <w:rFonts w:ascii="Times New Roman" w:cs="Times New Roman" w:eastAsia="Times New Roman" w:hAnsi="Times New Roman"/>
          <w:sz w:val="20"/>
          <w:szCs w:val="20"/>
          <w:color w:val="auto"/>
        </w:rPr>
        <w:t>novo premarket clearance</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before they may be commercially marketed in the United States as well as general controls and potentially special controls like performance standards or specific labeling requirements; and</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1421" w:right="1440" w:bottom="450" w:gutter="0" w:footer="0" w:header="0"/>
          <w:type w:val="continuous"/>
        </w:sectPr>
      </w:pPr>
    </w:p>
    <w:bookmarkStart w:id="13" w:name="page14"/>
    <w:bookmarkEnd w:id="13"/>
    <w:p>
      <w:pPr>
        <w:jc w:val="both"/>
        <w:ind w:left="720" w:hanging="419"/>
        <w:spacing w:after="0" w:line="372" w:lineRule="auto"/>
        <w:tabs>
          <w:tab w:leader="none" w:pos="700" w:val="left"/>
        </w:tabs>
        <w:rPr>
          <w:sz w:val="20"/>
          <w:szCs w:val="20"/>
          <w:color w:val="auto"/>
        </w:rPr>
      </w:pPr>
      <w:r>
        <w:rPr>
          <w:rFonts w:ascii="PMingLiU" w:cs="PMingLiU" w:eastAsia="PMingLiU" w:hAnsi="PMingLiU"/>
          <w:sz w:val="15"/>
          <w:szCs w:val="15"/>
          <w:color w:val="auto"/>
        </w:rPr>
        <w:t xml:space="preserve"> </w:t>
      </w:r>
      <w:r>
        <w:rPr>
          <w:sz w:val="20"/>
          <w:szCs w:val="20"/>
          <w:color w:val="auto"/>
        </w:rPr>
        <w:tab/>
      </w:r>
      <w:r>
        <w:rPr>
          <w:rFonts w:ascii="PMingLiU" w:cs="PMingLiU" w:eastAsia="PMingLiU" w:hAnsi="PMingLiU"/>
          <w:sz w:val="15"/>
          <w:szCs w:val="15"/>
          <w:color w:val="auto"/>
        </w:rPr>
        <w:t>&amp;ODVV,,,GHYLFHVZKLFKDUHGHYLFHVGHHPHGE\WKH)'$ WRSRVHWKHJUHDWHVWULVNVXFKDVOLIH</w:t>
      </w:r>
      <w:r>
        <w:rPr>
          <w:rFonts w:ascii="Times New Roman" w:cs="Times New Roman" w:eastAsia="Times New Roman" w:hAnsi="Times New Roman"/>
          <w:sz w:val="15"/>
          <w:szCs w:val="15"/>
          <w:color w:val="auto"/>
        </w:rPr>
        <w:t>sustaining,</w:t>
      </w:r>
      <w:r>
        <w:rPr>
          <w:rFonts w:ascii="PMingLiU" w:cs="PMingLiU" w:eastAsia="PMingLiU" w:hAnsi="PMingLiU"/>
          <w:sz w:val="15"/>
          <w:szCs w:val="15"/>
          <w:color w:val="auto"/>
        </w:rPr>
        <w:t xml:space="preserve"> </w:t>
      </w:r>
      <w:r>
        <w:rPr>
          <w:rFonts w:ascii="Times New Roman" w:cs="Times New Roman" w:eastAsia="Times New Roman" w:hAnsi="Times New Roman"/>
          <w:sz w:val="15"/>
          <w:szCs w:val="15"/>
          <w:color w:val="auto"/>
        </w:rPr>
        <w:t>life-supporting or implantable devices, or devices deemed not substantially equivalent to a predicate device. Class III devices generally require the submission and approval of a PMA supported by clinical trial data.</w:t>
      </w:r>
    </w:p>
    <w:p>
      <w:pPr>
        <w:spacing w:after="0" w:line="1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LIBERTY device is a classified as Class II, and received 510(k) premarket clearance in 2025. Microbot expects future medical products in its pipeline currently to be classified as Class II or possibly Class III.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1" w:lineRule="exact"/>
        <w:rPr>
          <w:sz w:val="20"/>
          <w:szCs w:val="20"/>
          <w:color w:val="auto"/>
        </w:rPr>
      </w:pPr>
    </w:p>
    <w:p>
      <w:pPr>
        <w:ind w:left="300"/>
        <w:spacing w:after="0" w:line="268"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Development of comprehensive product description and indications for use;</w:t>
      </w:r>
    </w:p>
    <w:p>
      <w:pPr>
        <w:ind w:left="720" w:hanging="419"/>
        <w:spacing w:after="0" w:line="232"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Comprehensive review of predicate devices and development of data supporting the new product’s substantial equivalence to one or more predicate devices; and</w:t>
      </w:r>
    </w:p>
    <w:p>
      <w:pPr>
        <w:spacing w:after="0" w:line="1" w:lineRule="exact"/>
        <w:rPr>
          <w:sz w:val="20"/>
          <w:szCs w:val="20"/>
          <w:color w:val="auto"/>
        </w:rPr>
      </w:pPr>
    </w:p>
    <w:p>
      <w:pPr>
        <w:ind w:left="720" w:hanging="419"/>
        <w:spacing w:after="0" w:line="237"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If appropriate and required, certain types of clinical trials (IDE submission and approval may be required for conducting a clinical trial in the U.S.).</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 -determined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Description of the IDE process. The IDE will become effective 30 days after receipt by the FDA, unless the FDA otherwise informs the sponsor prior to the 30-day period that the IDE is approved, approved with conditions, or disapproved. If the FDA determines that additional information is required, the FDA may permit a clinical trial to proceed under a conditional approval. In case of disapproval, the Company can continue its existing IDE process interaction with the FDA, and supply FDA with additional information to obtain approval or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 -keeping requirements. See “-Recent Developments-FDA Approval to Proceed with Pivotal Human Clinical Trial” above.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510(k) clearance typically involves the following:</w:t>
      </w:r>
    </w:p>
    <w:p>
      <w:pPr>
        <w:spacing w:after="0" w:line="229" w:lineRule="exact"/>
        <w:rPr>
          <w:sz w:val="20"/>
          <w:szCs w:val="20"/>
          <w:color w:val="auto"/>
        </w:rPr>
      </w:pPr>
    </w:p>
    <w:p>
      <w:pPr>
        <w:ind w:left="300"/>
        <w:spacing w:after="0"/>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Assuming successful completion of all required testing, a detailed 510(k) premarket notification or 510(k)</w:t>
      </w:r>
    </w:p>
    <w:p>
      <w:pPr>
        <w:spacing w:after="0" w:line="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de-novo is submitted to the FDA requesting clearance to market the product. The notification includes all</w:t>
      </w:r>
    </w:p>
    <w:p>
      <w:pPr>
        <w:ind w:left="720"/>
        <w:spacing w:after="0"/>
        <w:rPr>
          <w:sz w:val="20"/>
          <w:szCs w:val="20"/>
          <w:color w:val="auto"/>
        </w:rPr>
      </w:pPr>
      <w:r>
        <w:rPr>
          <w:rFonts w:ascii="Times New Roman" w:cs="Times New Roman" w:eastAsia="Times New Roman" w:hAnsi="Times New Roman"/>
          <w:sz w:val="20"/>
          <w:szCs w:val="20"/>
          <w:color w:val="auto"/>
        </w:rPr>
        <w:t>relevant data from pertinent preclinical and clinical trials, together with detailed information relating to the</w:t>
      </w:r>
    </w:p>
    <w:p>
      <w:pPr>
        <w:ind w:left="720"/>
        <w:spacing w:after="0"/>
        <w:rPr>
          <w:sz w:val="20"/>
          <w:szCs w:val="20"/>
          <w:color w:val="auto"/>
        </w:rPr>
      </w:pPr>
      <w:r>
        <w:rPr>
          <w:rFonts w:ascii="Times New Roman" w:cs="Times New Roman" w:eastAsia="Times New Roman" w:hAnsi="Times New Roman"/>
          <w:sz w:val="20"/>
          <w:szCs w:val="20"/>
          <w:color w:val="auto"/>
        </w:rPr>
        <w:t>product’s manufacturing controls and proposed labeling, and other relevant documentation.</w:t>
      </w:r>
    </w:p>
    <w:p>
      <w:pPr>
        <w:ind w:left="300"/>
        <w:spacing w:after="0" w:line="225" w:lineRule="auto"/>
        <w:tabs>
          <w:tab w:leader="none" w:pos="700" w:val="left"/>
        </w:tabs>
        <w:rPr>
          <w:sz w:val="20"/>
          <w:szCs w:val="20"/>
          <w:color w:val="auto"/>
        </w:rPr>
      </w:pPr>
      <w:r>
        <w:rPr>
          <w:rFonts w:ascii="PMingLiU" w:cs="PMingLiU" w:eastAsia="PMingLiU" w:hAnsi="PMingLiU"/>
          <w:sz w:val="20"/>
          <w:szCs w:val="20"/>
          <w:color w:val="auto"/>
        </w:rPr>
        <w:t xml:space="preserve"> </w:t>
        <w:tab/>
        <w:t>$NFOHDUDQFH</w:t>
      </w:r>
      <w:r>
        <w:rPr>
          <w:rFonts w:ascii="Times New Roman" w:cs="Times New Roman" w:eastAsia="Times New Roman" w:hAnsi="Times New Roman"/>
          <w:sz w:val="20"/>
          <w:szCs w:val="20"/>
          <w:color w:val="auto"/>
        </w:rPr>
        <w:t>letter from the FDA will authorize commercial marketing of the device for one or more</w:t>
      </w:r>
    </w:p>
    <w:p>
      <w:pPr>
        <w:ind w:left="720"/>
        <w:spacing w:after="0"/>
        <w:rPr>
          <w:sz w:val="20"/>
          <w:szCs w:val="20"/>
          <w:color w:val="auto"/>
        </w:rPr>
      </w:pPr>
      <w:r>
        <w:rPr>
          <w:rFonts w:ascii="Times New Roman" w:cs="Times New Roman" w:eastAsia="Times New Roman" w:hAnsi="Times New Roman"/>
          <w:sz w:val="20"/>
          <w:szCs w:val="20"/>
          <w:color w:val="auto"/>
        </w:rPr>
        <w:t>specific indications for use.</w:t>
      </w:r>
    </w:p>
    <w:p>
      <w:pPr>
        <w:spacing w:after="0" w:line="1" w:lineRule="exact"/>
        <w:rPr>
          <w:sz w:val="20"/>
          <w:szCs w:val="20"/>
          <w:color w:val="auto"/>
        </w:rPr>
      </w:pPr>
    </w:p>
    <w:p>
      <w:pPr>
        <w:ind w:left="300"/>
        <w:spacing w:after="0"/>
        <w:tabs>
          <w:tab w:leader="none" w:pos="700" w:val="left"/>
        </w:tabs>
        <w:rPr>
          <w:sz w:val="20"/>
          <w:szCs w:val="20"/>
          <w:color w:val="auto"/>
        </w:rPr>
      </w:pPr>
      <w:r>
        <w:rPr>
          <w:rFonts w:ascii="PMingLiU" w:cs="PMingLiU" w:eastAsia="PMingLiU" w:hAnsi="PMingLiU"/>
          <w:sz w:val="17"/>
          <w:szCs w:val="17"/>
          <w:color w:val="auto"/>
        </w:rPr>
        <w:t xml:space="preserve"> </w:t>
      </w:r>
      <w:r>
        <w:rPr>
          <w:sz w:val="20"/>
          <w:szCs w:val="20"/>
          <w:color w:val="auto"/>
        </w:rPr>
        <w:tab/>
      </w:r>
      <w:r>
        <w:rPr>
          <w:rFonts w:ascii="PMingLiU" w:cs="PMingLiU" w:eastAsia="PMingLiU" w:hAnsi="PMingLiU"/>
          <w:sz w:val="17"/>
          <w:szCs w:val="17"/>
          <w:color w:val="auto"/>
        </w:rPr>
        <w:t>$IWHUNFOHDUDQFH0LFURERWZLOOEHUHTXLUHGWRFRPSO\ZLWKDQXPEHURISRVW</w:t>
      </w:r>
      <w:r>
        <w:rPr>
          <w:rFonts w:ascii="Times New Roman" w:cs="Times New Roman" w:eastAsia="Times New Roman" w:hAnsi="Times New Roman"/>
          <w:sz w:val="17"/>
          <w:szCs w:val="17"/>
          <w:color w:val="auto"/>
        </w:rPr>
        <w:t>clearance requirements,</w:t>
      </w:r>
    </w:p>
    <w:p>
      <w:pPr>
        <w:spacing w:after="0" w:line="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including, but not limited to, Medical Device Reporting and complaint handling, and, if applicable, reporting</w:t>
      </w:r>
    </w:p>
    <w:p>
      <w:pPr>
        <w:spacing w:after="0" w:line="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of corrective actions. Also, quality control and manufacturing procedures must continue to conform to</w:t>
      </w:r>
    </w:p>
    <w:p>
      <w:pPr>
        <w:ind w:left="720"/>
        <w:spacing w:after="0"/>
        <w:rPr>
          <w:sz w:val="20"/>
          <w:szCs w:val="20"/>
          <w:color w:val="auto"/>
        </w:rPr>
      </w:pPr>
      <w:r>
        <w:rPr>
          <w:rFonts w:ascii="Times New Roman" w:cs="Times New Roman" w:eastAsia="Times New Roman" w:hAnsi="Times New Roman"/>
          <w:sz w:val="20"/>
          <w:szCs w:val="20"/>
          <w:color w:val="auto"/>
        </w:rPr>
        <w:t>QMSRs. The FDA periodically inspects manufacturing facilities to assess compliance with QMSRs, which</w:t>
      </w:r>
    </w:p>
    <w:p>
      <w:pPr>
        <w:ind w:left="720"/>
        <w:spacing w:after="0"/>
        <w:rPr>
          <w:sz w:val="20"/>
          <w:szCs w:val="20"/>
          <w:color w:val="auto"/>
        </w:rPr>
      </w:pPr>
      <w:r>
        <w:rPr>
          <w:rFonts w:ascii="Times New Roman" w:cs="Times New Roman" w:eastAsia="Times New Roman" w:hAnsi="Times New Roman"/>
          <w:sz w:val="19"/>
          <w:szCs w:val="19"/>
          <w:color w:val="auto"/>
        </w:rPr>
        <w:t>impose extensive procedural, substantive, and record keeping requirements on medical device manufacturers.</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addition, changes to the manufacturing process are strictly regulated, and, depending on the change,</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validation activities may need to be performed. Accordingly, manufacturers must continue to expend time,</w:t>
      </w:r>
    </w:p>
    <w:p>
      <w:pPr>
        <w:sectPr>
          <w:pgSz w:w="12240" w:h="15840" w:orient="portrait"/>
          <w:cols w:equalWidth="0" w:num="1">
            <w:col w:w="9360"/>
          </w:cols>
          <w:pgMar w:left="1440" w:top="1421" w:right="1440" w:bottom="450" w:gutter="0" w:footer="0" w:header="0"/>
        </w:sect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1421" w:right="1440" w:bottom="450" w:gutter="0" w:footer="0" w:header="0"/>
          <w:type w:val="continuous"/>
        </w:sectPr>
      </w:pPr>
    </w:p>
    <w:bookmarkStart w:id="14" w:name="page15"/>
    <w:bookmarkEnd w:id="14"/>
    <w:p>
      <w:pPr>
        <w:ind w:left="720"/>
        <w:spacing w:after="0" w:line="253" w:lineRule="auto"/>
        <w:rPr>
          <w:sz w:val="20"/>
          <w:szCs w:val="20"/>
          <w:color w:val="auto"/>
        </w:rPr>
      </w:pPr>
      <w:r>
        <w:rPr>
          <w:rFonts w:ascii="Times New Roman" w:cs="Times New Roman" w:eastAsia="Times New Roman" w:hAnsi="Times New Roman"/>
          <w:sz w:val="20"/>
          <w:szCs w:val="20"/>
          <w:color w:val="auto"/>
        </w:rPr>
        <w:t>money and effort in the area of production and quality control to maintain compliance with QMSRs and other types of regulatory controls.</w:t>
      </w:r>
    </w:p>
    <w:p>
      <w:pPr>
        <w:spacing w:after="0" w:line="2" w:lineRule="exact"/>
        <w:rPr>
          <w:sz w:val="20"/>
          <w:szCs w:val="20"/>
          <w:color w:val="auto"/>
        </w:rPr>
      </w:pPr>
    </w:p>
    <w:p>
      <w:pPr>
        <w:jc w:val="both"/>
        <w:ind w:left="720" w:hanging="419"/>
        <w:spacing w:after="0"/>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1" w:lineRule="exact"/>
        <w:rPr>
          <w:sz w:val="20"/>
          <w:szCs w:val="20"/>
          <w:color w:val="auto"/>
        </w:rPr>
      </w:pPr>
    </w:p>
    <w:p>
      <w:pPr>
        <w:jc w:val="both"/>
        <w:ind w:left="720" w:hanging="419"/>
        <w:spacing w:after="0" w:line="263" w:lineRule="auto"/>
        <w:tabs>
          <w:tab w:leader="none" w:pos="700" w:val="left"/>
        </w:tabs>
        <w:rPr>
          <w:sz w:val="20"/>
          <w:szCs w:val="20"/>
          <w:color w:val="auto"/>
        </w:rPr>
      </w:pPr>
      <w:r>
        <w:rPr>
          <w:rFonts w:ascii="Times New Roman" w:cs="Times New Roman" w:eastAsia="Times New Roman" w:hAnsi="Times New Roman"/>
          <w:sz w:val="19"/>
          <w:szCs w:val="19"/>
          <w:color w:val="auto"/>
        </w:rPr>
        <w:t xml:space="preserve">Ɣ </w:t>
      </w:r>
      <w:r>
        <w:rPr>
          <w:sz w:val="20"/>
          <w:szCs w:val="20"/>
          <w:color w:val="auto"/>
        </w:rPr>
        <w:tab/>
      </w:r>
      <w:r>
        <w:rPr>
          <w:rFonts w:ascii="Times New Roman" w:cs="Times New Roman" w:eastAsia="Times New Roman" w:hAnsi="Times New Roman"/>
          <w:sz w:val="19"/>
          <w:szCs w:val="19"/>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event that Microbot receives a Not Substantially Equivalent determination for any future device candidates in response to a 510(k) submission, the Microbot device may still be eligible for the 510(k) de-novo classification process.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Regulation</w:t>
      </w:r>
    </w:p>
    <w:p>
      <w:pPr>
        <w:spacing w:after="0" w:line="228"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In addition to regulations in the United States, Microbot will be subject to a variety of foreign regulations governing clinical trials, marketing authorization and commercial sales and distribution of its products in foreign countries. The</w:t>
      </w:r>
    </w:p>
    <w:p>
      <w:pPr>
        <w:sectPr>
          <w:pgSz w:w="12240" w:h="15840" w:orient="portrait"/>
          <w:cols w:equalWidth="0" w:num="1">
            <w:col w:w="9360"/>
          </w:cols>
          <w:pgMar w:left="1440" w:top="1421" w:right="1440" w:bottom="45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1421" w:right="1440" w:bottom="450" w:gutter="0" w:footer="0" w:header="0"/>
          <w:type w:val="continuous"/>
        </w:sectPr>
      </w:pPr>
    </w:p>
    <w:bookmarkStart w:id="15" w:name="page16"/>
    <w:bookmarkEnd w:id="15"/>
    <w:p>
      <w:pPr>
        <w:jc w:val="both"/>
        <w:spacing w:after="0" w:line="257" w:lineRule="auto"/>
        <w:rPr>
          <w:sz w:val="20"/>
          <w:szCs w:val="20"/>
          <w:color w:val="auto"/>
        </w:rPr>
      </w:pPr>
      <w:r>
        <w:rPr>
          <w:rFonts w:ascii="Times New Roman" w:cs="Times New Roman" w:eastAsia="Times New Roman" w:hAnsi="Times New Roman"/>
          <w:sz w:val="20"/>
          <w:szCs w:val="20"/>
          <w:color w:val="auto"/>
        </w:rPr>
        <w:t>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Europe. The primary regulatory body in Europe is the European Union, or E.U., which consists of 27 member states and has a coordinated system for the authorization of medical devices.</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E.U. has adopted regulations concerning the regulation of medical devices within the European Union. The regulations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spacing w:after="0" w:line="181" w:lineRule="exact"/>
        <w:rPr>
          <w:sz w:val="20"/>
          <w:szCs w:val="20"/>
          <w:color w:val="auto"/>
        </w:rPr>
      </w:pPr>
    </w:p>
    <w:p>
      <w:pPr>
        <w:spacing w:after="0" w:line="277" w:lineRule="auto"/>
        <w:tabs>
          <w:tab w:leader="none" w:pos="19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obtain CE Marking certification, comply with European Commission Regulation (EU) No. 2017/745, commonly known as the Medical Device Regulation (MDR).</w:t>
      </w:r>
    </w:p>
    <w:p>
      <w:pPr>
        <w:spacing w:after="0" w:line="160" w:lineRule="exact"/>
        <w:rPr>
          <w:rFonts w:ascii="Times New Roman" w:cs="Times New Roman" w:eastAsia="Times New Roman" w:hAnsi="Times New Roman"/>
          <w:sz w:val="20"/>
          <w:szCs w:val="20"/>
          <w:color w:val="auto"/>
        </w:rPr>
      </w:pPr>
    </w:p>
    <w:p>
      <w:pPr>
        <w:jc w:val="both"/>
        <w:spacing w:after="0" w:line="257" w:lineRule="auto"/>
        <w:tabs>
          <w:tab w:leader="none" w:pos="21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 a Person Responsible for Regulatory Compliance (PRRC). Determine classification of device - Class I (self-certified); Class I (sterile, measuring or reusable surgical instrument); Class IIa (which LIBERTY is considered), Class IIb, or Class III.</w:t>
      </w:r>
    </w:p>
    <w:p>
      <w:pPr>
        <w:spacing w:after="0" w:line="180" w:lineRule="exact"/>
        <w:rPr>
          <w:rFonts w:ascii="Times New Roman" w:cs="Times New Roman" w:eastAsia="Times New Roman" w:hAnsi="Times New Roman"/>
          <w:sz w:val="20"/>
          <w:szCs w:val="20"/>
          <w:color w:val="auto"/>
        </w:rPr>
      </w:pPr>
    </w:p>
    <w:p>
      <w:pPr>
        <w:jc w:val="both"/>
        <w:spacing w:after="0" w:line="249" w:lineRule="auto"/>
        <w:tabs>
          <w:tab w:leader="none" w:pos="19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devices, implement a Quality Management System (QMS) in accordance with the MDR. Companies usually apply the EN ISO 13485 standard to achieve initial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186" w:lineRule="exact"/>
        <w:rPr>
          <w:rFonts w:ascii="Times New Roman" w:cs="Times New Roman" w:eastAsia="Times New Roman" w:hAnsi="Times New Roman"/>
          <w:sz w:val="20"/>
          <w:szCs w:val="20"/>
          <w:color w:val="auto"/>
        </w:rPr>
      </w:pPr>
    </w:p>
    <w:p>
      <w:pPr>
        <w:jc w:val="both"/>
        <w:spacing w:after="0" w:line="247" w:lineRule="auto"/>
        <w:tabs>
          <w:tab w:leader="none" w:pos="20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190" w:lineRule="exact"/>
        <w:rPr>
          <w:rFonts w:ascii="Times New Roman" w:cs="Times New Roman" w:eastAsia="Times New Roman" w:hAnsi="Times New Roman"/>
          <w:sz w:val="20"/>
          <w:szCs w:val="20"/>
          <w:color w:val="auto"/>
        </w:rPr>
      </w:pPr>
    </w:p>
    <w:p>
      <w:pPr>
        <w:jc w:val="both"/>
        <w:spacing w:after="0" w:line="257" w:lineRule="auto"/>
        <w:tabs>
          <w:tab w:leader="none" w:pos="20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180" w:lineRule="exact"/>
        <w:rPr>
          <w:rFonts w:ascii="Times New Roman" w:cs="Times New Roman" w:eastAsia="Times New Roman" w:hAnsi="Times New Roman"/>
          <w:sz w:val="20"/>
          <w:szCs w:val="20"/>
          <w:color w:val="auto"/>
        </w:rPr>
      </w:pPr>
    </w:p>
    <w:p>
      <w:pPr>
        <w:jc w:val="both"/>
        <w:spacing w:after="0" w:line="258" w:lineRule="auto"/>
        <w:tabs>
          <w:tab w:leader="none" w:pos="21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devices except Class I (self-certified), the QMS and Technical Documentation or Design Dossier must be audited by a Notified Body, a third-party accredited by European authorities to audit medical device companies and products.</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1421" w:right="1440" w:bottom="450" w:gutter="0" w:footer="0" w:header="0"/>
          <w:type w:val="continuous"/>
        </w:sectPr>
      </w:pPr>
    </w:p>
    <w:bookmarkStart w:id="16" w:name="page17"/>
    <w:bookmarkEnd w:id="16"/>
    <w:p>
      <w:pPr>
        <w:jc w:val="both"/>
        <w:spacing w:after="0" w:line="252" w:lineRule="auto"/>
        <w:tabs>
          <w:tab w:leader="none" w:pos="21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183" w:lineRule="exact"/>
        <w:rPr>
          <w:rFonts w:ascii="Times New Roman" w:cs="Times New Roman" w:eastAsia="Times New Roman" w:hAnsi="Times New Roman"/>
          <w:sz w:val="20"/>
          <w:szCs w:val="20"/>
          <w:color w:val="auto"/>
        </w:rPr>
      </w:pPr>
    </w:p>
    <w:p>
      <w:pPr>
        <w:spacing w:after="0" w:line="277" w:lineRule="auto"/>
        <w:tabs>
          <w:tab w:leader="none" w:pos="2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 Declaration of Conformity, a legally binding document prepared by the manufacturer stating that the device is in compliance with the applicable European requirements. At this time, the CE Marking may be affixed.</w:t>
      </w:r>
    </w:p>
    <w:p>
      <w:pPr>
        <w:spacing w:after="0" w:line="158" w:lineRule="exact"/>
        <w:rPr>
          <w:rFonts w:ascii="Times New Roman" w:cs="Times New Roman" w:eastAsia="Times New Roman" w:hAnsi="Times New Roman"/>
          <w:sz w:val="20"/>
          <w:szCs w:val="20"/>
          <w:color w:val="auto"/>
        </w:rPr>
      </w:pPr>
    </w:p>
    <w:p>
      <w:pPr>
        <w:spacing w:after="0" w:line="277" w:lineRule="auto"/>
        <w:tabs>
          <w:tab w:leader="none" w:pos="2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Register the device and its Unique Device Identifier (UDI) in the EUDAMED database. UDI must be on label and associated with the regulatory documents.</w:t>
      </w:r>
    </w:p>
    <w:p>
      <w:pPr>
        <w:spacing w:after="0" w:line="160" w:lineRule="exact"/>
        <w:rPr>
          <w:rFonts w:ascii="Times New Roman" w:cs="Times New Roman" w:eastAsia="Times New Roman" w:hAnsi="Times New Roman"/>
          <w:sz w:val="20"/>
          <w:szCs w:val="20"/>
          <w:color w:val="auto"/>
        </w:rPr>
      </w:pPr>
    </w:p>
    <w:p>
      <w:pPr>
        <w:jc w:val="both"/>
        <w:spacing w:after="0" w:line="252" w:lineRule="auto"/>
        <w:tabs>
          <w:tab w:leader="none" w:pos="30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Microbot applied for the CE Mark for LIBERTY. There is no guarantee that Microbot will be granted a CE Mark for LIBERTY or all or any of its future potential pipeline products. Failure to obtain the CE Mark would likely adversely affect Microbot’s ability to grow its business.</w:t>
      </w:r>
    </w:p>
    <w:p>
      <w:pPr>
        <w:spacing w:after="0" w:line="17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in Europe as well as other regions who accept the CE Mark. In 2025, we engaged with a leading Notified Body and commenced audits for ISO 13485 certification to ensure basic compliance with the Quality Management System (QMS) requirements of the EU Medical Devices Regulation (MDR 2017/745).</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Israel. Israel’s Medical Devices Law generally requires the registration of all medical products with the Ministry of Health, or MOH, Registrar as a 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70" w:lineRule="exact"/>
        <w:rPr>
          <w:sz w:val="20"/>
          <w:szCs w:val="20"/>
          <w:color w:val="auto"/>
        </w:rPr>
      </w:pPr>
    </w:p>
    <w:p>
      <w:pPr>
        <w:ind w:left="300"/>
        <w:spacing w:after="0" w:line="268"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Name and address of the manufacturer, and of the importer as applicable;</w:t>
      </w:r>
    </w:p>
    <w:p>
      <w:pPr>
        <w:ind w:left="300"/>
        <w:spacing w:after="0" w:line="228"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Description of the intended use of the medical device and of its medical indications;</w:t>
      </w:r>
    </w:p>
    <w:p>
      <w:pPr>
        <w:jc w:val="both"/>
        <w:ind w:left="720" w:hanging="419"/>
        <w:spacing w:after="0" w:line="254" w:lineRule="auto"/>
        <w:tabs>
          <w:tab w:leader="none" w:pos="700" w:val="left"/>
        </w:tabs>
        <w:rPr>
          <w:sz w:val="20"/>
          <w:szCs w:val="20"/>
          <w:color w:val="auto"/>
        </w:rPr>
      </w:pPr>
      <w:r>
        <w:rPr>
          <w:rFonts w:ascii="PMingLiU" w:cs="PMingLiU" w:eastAsia="PMingLiU" w:hAnsi="PMingLiU"/>
          <w:sz w:val="18"/>
          <w:szCs w:val="18"/>
          <w:color w:val="auto"/>
        </w:rPr>
        <w:t xml:space="preserve"> </w:t>
        <w:tab/>
        <w:t xml:space="preserve">7HFKQLFDO GHWDLOV RI WKH PHGLFDO GHYLFH DQG RI LWV FRPSRQHQWV DQG LQ WKH HYHQW WKDW </w:t>
      </w:r>
      <w:r>
        <w:rPr>
          <w:rFonts w:ascii="Times New Roman" w:cs="Times New Roman" w:eastAsia="Times New Roman" w:hAnsi="Times New Roman"/>
          <w:sz w:val="18"/>
          <w:szCs w:val="18"/>
          <w:color w:val="auto"/>
        </w:rPr>
        <w:t>the device or the</w:t>
      </w:r>
      <w:r>
        <w:rPr>
          <w:rFonts w:ascii="PMingLiU" w:cs="PMingLiU" w:eastAsia="PMingLiU" w:hAnsi="PMingLiU"/>
          <w:sz w:val="18"/>
          <w:szCs w:val="18"/>
          <w:color w:val="auto"/>
        </w:rPr>
        <w:t xml:space="preserve"> </w:t>
      </w:r>
      <w:r>
        <w:rPr>
          <w:rFonts w:ascii="Times New Roman" w:cs="Times New Roman" w:eastAsia="Times New Roman" w:hAnsi="Times New Roman"/>
          <w:sz w:val="18"/>
          <w:szCs w:val="18"/>
          <w:color w:val="auto"/>
        </w:rPr>
        <w:t>components are not new, information should be provided on the date or renovation;</w:t>
      </w:r>
    </w:p>
    <w:p>
      <w:pPr>
        <w:spacing w:after="0" w:line="1" w:lineRule="exact"/>
        <w:rPr>
          <w:sz w:val="20"/>
          <w:szCs w:val="20"/>
          <w:color w:val="auto"/>
        </w:rPr>
      </w:pPr>
    </w:p>
    <w:p>
      <w:pPr>
        <w:jc w:val="both"/>
        <w:ind w:left="720" w:hanging="419"/>
        <w:spacing w:after="0" w:line="235"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Certificate attesting to the safety of the device, issued by a competent authority of one of the following countries: Australia, Canada, European Community (EC), Member States (MSs), Israel, Japan, or the United States;</w:t>
      </w:r>
    </w:p>
    <w:p>
      <w:pPr>
        <w:jc w:val="both"/>
        <w:ind w:left="720" w:hanging="419"/>
        <w:spacing w:after="0" w:line="233"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Information on any risk which may be associated with the use of the device (including precautionary measures to be taken);</w:t>
      </w:r>
    </w:p>
    <w:p>
      <w:pPr>
        <w:spacing w:after="0" w:line="2" w:lineRule="exact"/>
        <w:rPr>
          <w:sz w:val="20"/>
          <w:szCs w:val="20"/>
          <w:color w:val="auto"/>
        </w:rPr>
      </w:pPr>
    </w:p>
    <w:p>
      <w:pPr>
        <w:jc w:val="both"/>
        <w:ind w:left="720" w:hanging="419"/>
        <w:spacing w:after="0" w:line="233"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Instructions for use of the device in Hebrew; the MOH may allow the instructions to be in English for certain devices;</w:t>
      </w:r>
    </w:p>
    <w:p>
      <w:pPr>
        <w:ind w:left="300"/>
        <w:spacing w:after="0" w:line="232"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Details of the standards to which the device complies;</w:t>
      </w:r>
    </w:p>
    <w:p>
      <w:pPr>
        <w:ind w:left="300" w:right="480"/>
        <w:spacing w:after="0" w:line="233"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Description of the technical and maintenance services, including periodic checks and inspections; and </w:t>
      </w: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Declaration, as appropriate: of the local manufacturer/importer, and of the foreign manufacturer.</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6 -9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w:t>
      </w:r>
    </w:p>
    <w:p>
      <w:pPr>
        <w:sectPr>
          <w:pgSz w:w="12240" w:h="15840" w:orient="portrait"/>
          <w:cols w:equalWidth="0" w:num="1">
            <w:col w:w="9360"/>
          </w:cols>
          <w:pgMar w:left="1440" w:top="1421" w:right="1440" w:bottom="45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1421" w:right="1440" w:bottom="450" w:gutter="0" w:footer="0" w:header="0"/>
          <w:type w:val="continuous"/>
        </w:sectPr>
      </w:pPr>
    </w:p>
    <w:bookmarkStart w:id="17" w:name="page18"/>
    <w:bookmarkEnd w:id="17"/>
    <w:p>
      <w:pPr>
        <w:jc w:val="both"/>
        <w:spacing w:after="0" w:line="257" w:lineRule="auto"/>
        <w:rPr>
          <w:sz w:val="20"/>
          <w:szCs w:val="20"/>
          <w:color w:val="auto"/>
        </w:rPr>
      </w:pPr>
      <w:r>
        <w:rPr>
          <w:rFonts w:ascii="Times New Roman" w:cs="Times New Roman" w:eastAsia="Times New Roman" w:hAnsi="Times New Roman"/>
          <w:sz w:val="20"/>
          <w:szCs w:val="20"/>
          <w:color w:val="auto"/>
        </w:rPr>
        <w:t>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86" w:lineRule="exact"/>
        <w:rPr>
          <w:sz w:val="20"/>
          <w:szCs w:val="20"/>
          <w:color w:val="auto"/>
        </w:rPr>
      </w:pPr>
    </w:p>
    <w:p>
      <w:pPr>
        <w:ind w:left="720" w:hanging="42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Reside and maintain a place of business in Israel and serve as the regulatory representative.</w:t>
      </w:r>
    </w:p>
    <w:p>
      <w:pPr>
        <w:spacing w:after="0" w:line="26" w:lineRule="exact"/>
        <w:rPr>
          <w:rFonts w:ascii="Times New Roman" w:cs="Times New Roman" w:eastAsia="Times New Roman" w:hAnsi="Times New Roman"/>
          <w:sz w:val="20"/>
          <w:szCs w:val="20"/>
          <w:color w:val="auto"/>
        </w:rPr>
      </w:pPr>
    </w:p>
    <w:p>
      <w:pPr>
        <w:ind w:left="720" w:hanging="42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Respond to questions from AMAR concerning the registered products.</w:t>
      </w:r>
    </w:p>
    <w:p>
      <w:pPr>
        <w:ind w:left="720" w:hanging="42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adverse events to AMAR.</w:t>
      </w:r>
    </w:p>
    <w:p>
      <w:pPr>
        <w:ind w:left="720" w:hanging="42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Renew the registration on time to keep the market approval active.</w:t>
      </w:r>
    </w:p>
    <w:p>
      <w:pPr>
        <w:spacing w:after="0" w:line="2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Comply with post-marketing requirements, including reporting of adverse and unexpected events occurring in Israel or in other countries where the device is in use.</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Getting a device listed on Israel’s four major Sick Funds (health insurance entities) is also necessary in order for Israeli hospitals and health care providers to order such products.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Microbot has applied for a license from the MOH for the LIBERTY device, and it is awaiting the outcome of the registration process. There is no guarantee that Microbot will be granted licenses for the LIBERTY device or any future pipeline products and failure to obtain such licenses would adversely affect its ability to grow its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March 24, 2026, we have 43 employees (including full-time and hourly employees).</w:t>
      </w:r>
    </w:p>
    <w:p>
      <w:pPr>
        <w:spacing w:after="0" w:line="2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Microbot’s Chief Executive Officer, President and Chairman, Harel Gadot, along with 23 other full-time employees, are based in the United States. These employees include executive, management and commercial operations of the Company. Additionally, Microbot has 18 full-time employees and 1 hourly employee based in its office located in Yokneam, Israel. These employees oversee day-to-day operations of the Company and leading engineering, manufacturing, intellectual property and administration functions of the Company. The Company expects to continue to increase hirings for its U.S.-based commercial team and other aspects of its U.S. and global operations.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9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have historically been able to attract and retain top talent by creating a culture that challenges and engages our employees, offering them opportunities to learn, grow and achieve their career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Benefits and Wellbeing</w:t>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believe that we provide competitive compensation for our employees. We offer annual bonuses and stock-based compensation for eligible employees, along with other benefits customary in the locations at which the employees are based.</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1421" w:right="1440" w:bottom="45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i w:val="1"/>
          <w:iCs w:val="1"/>
          <w:color w:val="auto"/>
        </w:rPr>
        <w:t>Leadership, Training and Development</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aim to provide our employees with advanced professional and development skills, so that they can perform effectively in their roles and build their capabilities and career prospects for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Diversity, Equity and Inclusion</w:t>
      </w:r>
    </w:p>
    <w:p>
      <w:pPr>
        <w:spacing w:after="0" w:line="23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We strive to encourage a diversity of views and to create an equal opportunity workplace. During the past three years, we have increased the total number of women in management positions.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1A. </w:t>
      </w:r>
      <w:r>
        <w:rPr>
          <w:rFonts w:ascii="Times New Roman" w:cs="Times New Roman" w:eastAsia="Times New Roman" w:hAnsi="Times New Roman"/>
          <w:sz w:val="20"/>
          <w:szCs w:val="20"/>
          <w:b w:val="1"/>
          <w:bCs w:val="1"/>
          <w:u w:val="single" w:color="auto"/>
          <w:color w:val="auto"/>
        </w:rPr>
        <w:t>Risk Factors</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auto"/>
        </w:rPr>
        <w:t>This Annual Report on Form 10-K contains forward- 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 looking statements made by us in this Annual Report on Form 10-K or in other reports, press releases or other statements issued from time to time. Additional factors that may cause such a difference are set forth elsewhere in this Annual Report on Form 10-K. Forward-looking statements speak only as of the date of this report. We do not undertake any obligation to publicly update any forward-looking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Microbot’s Financial Position and Need for Additional Capital</w:t>
      </w:r>
    </w:p>
    <w:p>
      <w:pPr>
        <w:spacing w:after="0" w:line="2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Through December 31, 2025, Microbot has not recognized any revenues, and cannot make any assurances of generating significant revenues in the future. It is expected to continue to incur significant operating losses for the foreseeable future. The Company may never become profitable or, if achieved, be able to sustain profitability.</w:t>
      </w:r>
    </w:p>
    <w:p>
      <w:pPr>
        <w:spacing w:after="0" w:line="1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Microbot has incurred significant operating losses since its inception and expects to incur significant losses for the foreseeable future as Microbot conducts sales and marketing operations for the LIBERTY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Endovascular Robotic Surgical System and continues its research and development of any other future product candidates; and all other work necessary to obtain regulatory clearances or approvals for its products or product candidates in the United States and other markets. In the future, Microbot intends to continue conducting micro-robotics research and development; performing necessary animal and clinical testing; working towards medical device regulatory compliance; and engaging in appropriate sales and marketing activities that, together with anticipated sales, general and administrative expenses, will likely result in Microbot incurring further significant losses for the foreseeable future.</w:t>
      </w:r>
    </w:p>
    <w:p>
      <w:pPr>
        <w:spacing w:after="0" w:line="18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9"/>
          <w:szCs w:val="19"/>
          <w:color w:val="auto"/>
        </w:rPr>
        <w:t>Microbot has not recognized any revenues from product sales through December 31, 2025, and does not anticipate generating significant revenues until it can successfully commercialize and sell the LIBERTY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Endovascular Robotic Surgical System or other future product candidates, of which Microbot can give no assurance. Even if Microbot or any of its future development partners, if any, succeed in commercializing the LIBERTY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Endovascular Robotic Surgical System, Microbot may never generate revenues significant enough to achieve profitability.</w:t>
      </w:r>
    </w:p>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or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ongoing research and development programs and/or day-to-day operations. Furthermore, there can be no assurance that profitability, if achieved, can be sustained on an ongoing basis.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Microbot has a limited operating history as a commercial-stage company since it ceased primarily being a research and development-stage company, which may make it difficult to evaluate the prospects for the Company’s future viability.</w:t>
      </w:r>
    </w:p>
    <w:p>
      <w:pPr>
        <w:spacing w:after="0" w:line="1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Microbot has a limited operating history as a commercial-stage company upon which an evaluation of its business plan or performance and prospects can be made. The business and prospects of Microbot must be considered in the</w:t>
      </w:r>
    </w:p>
    <w:p>
      <w:pPr>
        <w:sectPr>
          <w:pgSz w:w="12240" w:h="15840" w:orient="portrait"/>
          <w:cols w:equalWidth="0" w:num="1">
            <w:col w:w="9360"/>
          </w:cols>
          <w:pgMar w:left="1440" w:top="1421" w:right="1440" w:bottom="45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1421" w:right="1440" w:bottom="450" w:gutter="0" w:footer="0" w:header="0"/>
          <w:type w:val="continuous"/>
        </w:sectPr>
      </w:pPr>
    </w:p>
    <w:bookmarkStart w:id="19" w:name="page20"/>
    <w:bookmarkEnd w:id="19"/>
    <w:p>
      <w:pPr>
        <w:jc w:val="both"/>
        <w:spacing w:after="0" w:line="244" w:lineRule="auto"/>
        <w:rPr>
          <w:sz w:val="20"/>
          <w:szCs w:val="20"/>
          <w:color w:val="auto"/>
        </w:rPr>
      </w:pPr>
      <w:r>
        <w:rPr>
          <w:rFonts w:ascii="Times New Roman" w:cs="Times New Roman" w:eastAsia="Times New Roman" w:hAnsi="Times New Roman"/>
          <w:sz w:val="20"/>
          <w:szCs w:val="20"/>
          <w:color w:val="auto"/>
        </w:rPr>
        <w:t>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 has not yet demonstrated its ability to successfully manufacture a commercial-scale product or arrange for a third-party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Microbot expects to need additional funding to continue to transition to a profitable commercial enterprise and build a sustainable business model. If Microbot is unable to raise capital, it could be forced to delay, reduce or eliminate its product development programs or commercialization efforts or future product development programs.</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To date, Microbot has funded its operations primarily through offerings of equity securities and grants. Microbot does not know when, or if, it will be profitable. It is anticipated that the Company will continue to incur losses for the foreseeable future, and that losses will increase as it continues the development of the manufacturing, sales and marketing infrastructure necessary to commercialize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w:t>
      </w:r>
    </w:p>
    <w:p>
      <w:pPr>
        <w:spacing w:after="0" w:line="9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Microbot also expects the research and development expenses of the Company to continue in future periods as it potentially conducts clinical trials for additional research programs for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and if it initiates additional research programs for future product candidates. Furthermore, Microbot incurs substantial costs associated with operating as a public company in the United States. Accordingly, the Company will likely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research and development programs or any future commercialization efforts, in which case it may be unable to meet its obligations or fully implement its business plan, if at all.</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intends to continue to opportunistically strengthen its balance sheet by raising additional funds through equity offerings or otherwise in order to meet expected future liquidity needs. The Company’s future capital requirements, generally, will depend on many factors, including:</w:t>
      </w:r>
    </w:p>
    <w:p>
      <w:pPr>
        <w:spacing w:after="0" w:line="181" w:lineRule="exact"/>
        <w:rPr>
          <w:sz w:val="20"/>
          <w:szCs w:val="20"/>
          <w:color w:val="auto"/>
        </w:rPr>
      </w:pPr>
    </w:p>
    <w:p>
      <w:pPr>
        <w:ind w:left="720" w:hanging="419"/>
        <w:spacing w:after="0" w:line="254" w:lineRule="auto"/>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the costs to secure or establish sales, marketing and commercial manufacturing capabilities or arrangements with third parties regarding same;</w:t>
      </w:r>
    </w:p>
    <w:p>
      <w:pPr>
        <w:spacing w:after="0" w:line="2" w:lineRule="exact"/>
        <w:rPr>
          <w:sz w:val="20"/>
          <w:szCs w:val="20"/>
          <w:color w:val="auto"/>
        </w:rPr>
      </w:pPr>
    </w:p>
    <w:p>
      <w:pPr>
        <w:ind w:left="720" w:hanging="419"/>
        <w:spacing w:after="0" w:line="239" w:lineRule="auto"/>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the Company’s need and ability to hire additional management, sales, marketing, scientific and medical personnel;</w:t>
      </w:r>
    </w:p>
    <w:p>
      <w:pPr>
        <w:spacing w:after="0" w:line="1" w:lineRule="exact"/>
        <w:rPr>
          <w:sz w:val="20"/>
          <w:szCs w:val="20"/>
          <w:color w:val="auto"/>
        </w:rPr>
      </w:pPr>
    </w:p>
    <w:p>
      <w:pPr>
        <w:ind w:left="720" w:hanging="419"/>
        <w:spacing w:after="0"/>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the timing and outcomes of any applicable regulatory reviews, subsequent approvals or clearances, or other regulatory actions;</w:t>
      </w:r>
    </w:p>
    <w:p>
      <w:pPr>
        <w:spacing w:after="0" w:line="1" w:lineRule="exact"/>
        <w:rPr>
          <w:sz w:val="20"/>
          <w:szCs w:val="20"/>
          <w:color w:val="auto"/>
        </w:rPr>
      </w:pPr>
    </w:p>
    <w:p>
      <w:pPr>
        <w:ind w:left="720" w:hanging="419"/>
        <w:spacing w:after="0"/>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the costs, design, duration and any potential delays of the clinical trials that could be conducted at the FDA’s request using Microbot’s product candidates;</w:t>
      </w:r>
    </w:p>
    <w:p>
      <w:pPr>
        <w:spacing w:after="0" w:line="1" w:lineRule="exact"/>
        <w:rPr>
          <w:sz w:val="20"/>
          <w:szCs w:val="20"/>
          <w:color w:val="auto"/>
        </w:rPr>
      </w:pPr>
    </w:p>
    <w:p>
      <w:pPr>
        <w:ind w:left="720" w:hanging="419"/>
        <w:spacing w:after="0" w:line="239" w:lineRule="auto"/>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the costs of acquiring, licensing or investing in new and existing businesses, product candidates and technologies;</w:t>
      </w:r>
    </w:p>
    <w:p>
      <w:pPr>
        <w:spacing w:after="0" w:line="1" w:lineRule="exact"/>
        <w:rPr>
          <w:sz w:val="20"/>
          <w:szCs w:val="20"/>
          <w:color w:val="auto"/>
        </w:rPr>
      </w:pPr>
    </w:p>
    <w:p>
      <w:pPr>
        <w:ind w:left="720" w:hanging="42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to maintain, expand and defend the scope of Microbot’s intellectual property portfolio; and</w:t>
      </w:r>
    </w:p>
    <w:p>
      <w:pPr>
        <w:ind w:left="720" w:hanging="42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to operate as a public company in the United States.</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1421" w:right="1440" w:bottom="45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Risks Relating to the Development and Commercialization of Microbot’s Products</w:t>
      </w:r>
    </w:p>
    <w:p>
      <w:pPr>
        <w:spacing w:after="0" w:line="124"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b w:val="1"/>
          <w:bCs w:val="1"/>
          <w:i w:val="1"/>
          <w:iCs w:val="1"/>
          <w:color w:val="auto"/>
        </w:rPr>
        <w:t>Microbot’s business depends heavily on the success of its sole product,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b w:val="1"/>
          <w:bCs w:val="1"/>
          <w:i w:val="1"/>
          <w:iCs w:val="1"/>
          <w:color w:val="auto"/>
        </w:rPr>
        <w:t xml:space="preserve"> Endovascular Robotic Surgical System. If Microbot is unable to commercialize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b w:val="1"/>
          <w:bCs w:val="1"/>
          <w:i w:val="1"/>
          <w:iCs w:val="1"/>
          <w:color w:val="auto"/>
        </w:rPr>
        <w:t xml:space="preserve"> Endovascular Robotic Surgical System, or experiences significant delays in doing so, Microbot’s business will be materially harmed.</w:t>
      </w:r>
    </w:p>
    <w:p>
      <w:pPr>
        <w:spacing w:after="0" w:line="19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Through December 31, 2025, Microbot has not recognized any revenues from its operations, and might not generate significant revenues in the foreseeable future, if at all, and depends heavily on the successful commercialization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The success of commercializing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will depend on a number of factors, including the following:</w:t>
      </w:r>
    </w:p>
    <w:p>
      <w:pPr>
        <w:spacing w:after="0" w:line="197" w:lineRule="exact"/>
        <w:rPr>
          <w:sz w:val="20"/>
          <w:szCs w:val="20"/>
          <w:color w:val="auto"/>
        </w:rPr>
      </w:pPr>
    </w:p>
    <w:p>
      <w:pPr>
        <w:ind w:left="720" w:hanging="42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commercial manufacturing arrangements with one or more third parties;</w:t>
      </w:r>
    </w:p>
    <w:p>
      <w:pPr>
        <w:spacing w:after="0" w:line="28" w:lineRule="exact"/>
        <w:rPr>
          <w:rFonts w:ascii="Times New Roman" w:cs="Times New Roman" w:eastAsia="Times New Roman" w:hAnsi="Times New Roman"/>
          <w:sz w:val="20"/>
          <w:szCs w:val="20"/>
          <w:color w:val="auto"/>
        </w:rPr>
      </w:pPr>
    </w:p>
    <w:p>
      <w:pPr>
        <w:ind w:left="720" w:hanging="42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sales, marketing and distribution capabilities;</w:t>
      </w:r>
    </w:p>
    <w:p>
      <w:pPr>
        <w:ind w:left="720" w:hanging="42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protecting Microbot’s rights in its intellectual property portfolio;</w:t>
      </w:r>
    </w:p>
    <w:p>
      <w:pPr>
        <w:ind w:left="720" w:hanging="420"/>
        <w:spacing w:after="0" w:line="238"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generating commercial sales, if and when approved, whether alone or in collaboration with other entities;</w:t>
      </w:r>
    </w:p>
    <w:p>
      <w:pPr>
        <w:ind w:left="720" w:hanging="42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additional capital;</w:t>
      </w:r>
    </w:p>
    <w:p>
      <w:pPr>
        <w:ind w:left="720" w:hanging="42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acceptance that the device is safe and effective for its intended use;</w:t>
      </w:r>
    </w:p>
    <w:p>
      <w:pPr>
        <w:ind w:left="720" w:hanging="42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by the medical community, patients and third-party payors;</w:t>
      </w:r>
    </w:p>
    <w:p>
      <w:pPr>
        <w:ind w:left="720" w:hanging="419"/>
        <w:spacing w:after="0"/>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effectively competing with existing and competitive products on the market and any new competing products that may enter the market; and</w:t>
      </w:r>
    </w:p>
    <w:p>
      <w:pPr>
        <w:spacing w:after="0" w:line="1" w:lineRule="exact"/>
        <w:rPr>
          <w:sz w:val="20"/>
          <w:szCs w:val="20"/>
          <w:color w:val="auto"/>
        </w:rPr>
      </w:pPr>
    </w:p>
    <w:p>
      <w:pPr>
        <w:ind w:left="720" w:hanging="42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quality and an acceptable safety profile.</w:t>
      </w:r>
    </w:p>
    <w:p>
      <w:pPr>
        <w:spacing w:after="0" w:line="20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If Microbot does not achieve one or more of these factors in a timely manner or at all, it could experience significant delays or an inability to successfully commercialize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 which would materially harm its business.</w:t>
      </w:r>
    </w:p>
    <w:p>
      <w:pPr>
        <w:spacing w:after="0" w:line="19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9"/>
          <w:szCs w:val="19"/>
          <w:b w:val="1"/>
          <w:bCs w:val="1"/>
          <w:i w:val="1"/>
          <w:iCs w:val="1"/>
          <w:color w:val="auto"/>
        </w:rPr>
        <w:t>If the commercial opportunity for the LIBERTY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b w:val="1"/>
          <w:bCs w:val="1"/>
          <w:i w:val="1"/>
          <w:iCs w:val="1"/>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b w:val="1"/>
          <w:bCs w:val="1"/>
          <w:i w:val="1"/>
          <w:iCs w:val="1"/>
          <w:color w:val="auto"/>
        </w:rPr>
        <w:t xml:space="preserve"> Endovascular Robotic Surgical System and such other products will be adversely affected and</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Microbot’s business will suffer.</w:t>
      </w:r>
    </w:p>
    <w:p>
      <w:pPr>
        <w:spacing w:after="0" w:line="20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or any other of Microbot’s future product candidate.</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commercial success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products. In addition, its competitors may develop new technologies for the same markets Microbot is targeting that are more attractive to medical facilities and physicians. If doctors and other medical professionals do not consider Microbot’s products to be suitable for application in the procedures we are targeting and an improvement over the use of existing or competing products, Microbot’s business goals will not be realized.</w:t>
      </w:r>
    </w:p>
    <w:p>
      <w:pPr>
        <w:spacing w:after="0" w:line="197"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9"/>
          <w:szCs w:val="19"/>
          <w:b w:val="1"/>
          <w:bCs w:val="1"/>
          <w:i w:val="1"/>
          <w:iCs w:val="1"/>
          <w:color w:val="auto"/>
        </w:rPr>
        <w:t>Customers will be unlikely to buy the LIBERTY</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9"/>
          <w:szCs w:val="19"/>
          <w:b w:val="1"/>
          <w:bCs w:val="1"/>
          <w:i w:val="1"/>
          <w:iCs w:val="1"/>
          <w:color w:val="auto"/>
        </w:rPr>
        <w:t xml:space="preserve"> Endovascular Robotic Surgical System or any other product candidates unless Microbot can demonstrate that they can be produced for sale to consumers at attractive prices.</w:t>
      </w:r>
    </w:p>
    <w:p>
      <w:pPr>
        <w:spacing w:after="0" w:line="19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Microbot only recently, in 2025, shifted its focus primarily from research and development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to its commercialization. Consequently, Microbot has limited experience in manufacturing, and intends to manufacture its products through third-party manufacturers. Microbot can offer no</w:t>
      </w:r>
    </w:p>
    <w:p>
      <w:pPr>
        <w:sectPr>
          <w:pgSz w:w="12240" w:h="15840" w:orient="portrait"/>
          <w:cols w:equalWidth="0" w:num="1">
            <w:col w:w="9360"/>
          </w:cols>
          <w:pgMar w:left="1440" w:top="1417" w:right="1440" w:bottom="45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1417" w:right="1440" w:bottom="450" w:gutter="0" w:footer="0" w:header="0"/>
          <w:type w:val="continuous"/>
        </w:sectPr>
      </w:pPr>
    </w:p>
    <w:bookmarkStart w:id="21" w:name="page22"/>
    <w:bookmarkEnd w:id="21"/>
    <w:p>
      <w:pPr>
        <w:jc w:val="both"/>
        <w:spacing w:after="0" w:line="245" w:lineRule="auto"/>
        <w:rPr>
          <w:sz w:val="20"/>
          <w:szCs w:val="20"/>
          <w:color w:val="auto"/>
        </w:rPr>
      </w:pPr>
      <w:r>
        <w:rPr>
          <w:rFonts w:ascii="Times New Roman" w:cs="Times New Roman" w:eastAsia="Times New Roman" w:hAnsi="Times New Roman"/>
          <w:sz w:val="20"/>
          <w:szCs w:val="20"/>
          <w:color w:val="auto"/>
        </w:rPr>
        <w:t>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good manufacturing practice (GMP) 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9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The proposed price of Microbot’s products will be dependent on material and other manufacturing costs. Microbot cannot offer any assurances that its manufacturing partner will be able manufacture its products at a competitive price or that achieving cost reductions will not cause a reduction in the performance, reliability and longevity of its products.</w:t>
      </w:r>
    </w:p>
    <w:p>
      <w:pPr>
        <w:spacing w:after="0" w:line="16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auto"/>
        </w:rPr>
        <w:t>If Microbot is not able to both obtain and maintain adequate levels of third-party reimbursement for procedures involving the LIBERTY</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Endovascular Robotic Surgical System or any other of its product candidates after they are approved for marketing and launched commercially, it would have a material adverse effect on Microbot’s business.</w:t>
      </w:r>
    </w:p>
    <w:p>
      <w:pPr>
        <w:spacing w:after="0" w:line="19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products or products Microbot develops in the future.</w:t>
      </w:r>
    </w:p>
    <w:p>
      <w:pPr>
        <w:spacing w:after="0" w:line="19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As Microbot’s product offerings are used across diverse healthcare settings, they will be affected to varying degrees by the different payment systems.</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1421" w:right="1440" w:bottom="450" w:gutter="0" w:footer="0" w:header="0"/>
          <w:type w:val="continuous"/>
        </w:sectPr>
      </w:pPr>
    </w:p>
    <w:bookmarkStart w:id="22" w:name="page23"/>
    <w:bookmarkEnd w:id="22"/>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Unsuccessful studies, trials or procedures relating to product candidates under development or that we may develop, or applications for such candidates, could have a material adverse effect on our prospects.</w:t>
      </w:r>
    </w:p>
    <w:p>
      <w:pPr>
        <w:spacing w:after="0" w:line="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Failure to successfully complete the studies or trials in a timely and cost-effective manner could have a material adverse effect on Microbot’s prospects with respect to potential future uses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or prospects with respect to other uses or other product candidates we may pursue or identify from time to time.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20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results of Microbot’s research and development efforts are uncertain and there can be no assurance of the commercial success of Microbot’s future product applications or candidates.</w:t>
      </w:r>
    </w:p>
    <w:p>
      <w:pPr>
        <w:spacing w:after="0" w:line="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Microbot believes that its success will depend in part on its ability to expand its product offerings and continue to improve its existing products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Microbot may not meet its development and commercialization objectives in a timely manner or at all.</w:t>
      </w:r>
    </w:p>
    <w:p>
      <w:pPr>
        <w:spacing w:after="0" w:line="11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Microbot has established internal goals, based upon expectations with respect to its technologies, which Microbot has used to assess its progress towards, most recently, commercializing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These goals relate to technology and design improvements as well as to dates for achieving specific development, commercialization and results. If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exhibits technical defects or are unable to meet cost or performance goals, among other things, Microbot’s commercialization schedule could be delayed and potential purchasers may decline to purchase such products or may opt to pursue alternative products, which would materially harm its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Microbot’s ability to expand its technology platforms for other uses may be limited.</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Microbot does not know whether any data submitted with any future 510(k) application will satisfy all FDA requirements to support clearance of any future product candidate of Microbot, which would create uncertainty for Microbot as well as the possibility of increased product development costs and time to market for any such product candidate.</w:t>
      </w:r>
    </w:p>
    <w:p>
      <w:pPr>
        <w:spacing w:after="0" w:line="73"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In the event Microbot pursues a future product candidate that requires FDA approval or clearance, it would have to identify a predicate device for that product candidate which it would then use in its 510(k) application. However, there</w:t>
      </w:r>
    </w:p>
    <w:p>
      <w:pPr>
        <w:sectPr>
          <w:pgSz w:w="12240" w:h="15840" w:orient="portrait"/>
          <w:cols w:equalWidth="0" w:num="1">
            <w:col w:w="9360"/>
          </w:cols>
          <w:pgMar w:left="1440" w:top="1421" w:right="1440" w:bottom="450" w:gutter="0" w:footer="0" w:header="0"/>
        </w:sectPr>
      </w:pP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1421" w:right="1440" w:bottom="450" w:gutter="0" w:footer="0" w:header="0"/>
          <w:type w:val="continuous"/>
        </w:sectPr>
      </w:pPr>
    </w:p>
    <w:bookmarkStart w:id="23" w:name="page24"/>
    <w:bookmarkEnd w:id="23"/>
    <w:p>
      <w:pPr>
        <w:jc w:val="both"/>
        <w:spacing w:after="0" w:line="257" w:lineRule="auto"/>
        <w:rPr>
          <w:sz w:val="20"/>
          <w:szCs w:val="20"/>
          <w:color w:val="auto"/>
        </w:rPr>
      </w:pPr>
      <w:r>
        <w:rPr>
          <w:rFonts w:ascii="Times New Roman" w:cs="Times New Roman" w:eastAsia="Times New Roman" w:hAnsi="Times New Roman"/>
          <w:sz w:val="20"/>
          <w:szCs w:val="20"/>
          <w:color w:val="auto"/>
        </w:rPr>
        <w:t>is no guarantee that the FDA will agree with the Company’s determination or that the FDA would accept the predicate device that Microbot submitted in any such 510(k). Furthermore, the FDA also may request additional data in response to a 510(k) or require Microbot to conduct further testing or compile more data in support of its 510(k).</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FDA will require clinical data to be submitted as part of any future product candidate’s marketing submission, and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which we have submitted and are continuing the submission process with the FDA while we commence the approved human trials.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Thus, the addition of one or more mandatory clinical trials to the development timeline for any future product candidate would significantly increase the costs associated with developing and commercializing the product and delay the timing of U.S. regulatory authorization. Additionally, any medical device regulatory changes by the FDA could further affect our development plans for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any future product applications and candidates, if such trials become necessary.</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Although Microbot has prior experience in designing, initiating, conducting and monitoring human clinical trials, it expects to continue to depend in part upon the ability of future collaborators, contract research organizations, clinical trial sites and investigators to successfully design, initiate, conduct and monitor such clinical trials.</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any future product candidates and, consequently, could delay or materially impair its ability to generate revenues from the commercialization of any of those future products.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7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Our research and development program is dependent on the availability of the component parts that we use to manufacture our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As a result of the Israel-Hamas war and related conflicts, we have experienced from time to time delays in the supply for certain components from Israeli-based vendors. We cannot determine with any certainty as to whether there will be future shortages, especially if the recently commenced U.S.-Israeli war against Iran escalates and spreads,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timelines will</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1421" w:right="1440" w:bottom="450" w:gutter="0" w:footer="0" w:header="0"/>
          <w:type w:val="continuous"/>
        </w:sectPr>
      </w:pPr>
    </w:p>
    <w:bookmarkStart w:id="24" w:name="page25"/>
    <w:bookmarkEnd w:id="24"/>
    <w:p>
      <w:pPr>
        <w:jc w:val="both"/>
        <w:spacing w:after="0" w:line="277" w:lineRule="auto"/>
        <w:rPr>
          <w:sz w:val="20"/>
          <w:szCs w:val="20"/>
          <w:color w:val="auto"/>
        </w:rPr>
      </w:pPr>
      <w:r>
        <w:rPr>
          <w:rFonts w:ascii="Times New Roman" w:cs="Times New Roman" w:eastAsia="Times New Roman" w:hAnsi="Times New Roman"/>
          <w:sz w:val="20"/>
          <w:szCs w:val="20"/>
          <w:color w:val="auto"/>
        </w:rPr>
        <w:t>not be delayed while we identify and retain replacement suppliers. Accordingly, any material delay in delivery of any component parts or packaging could materially adversely affect our ability to meet our expected timeframes.</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Microbot has relied on, and intends to continue to rely on, third-party manufacturers to produce its products and product candidates.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 currently relies, and expects to rely for the foreseeable future, on third-party manufacturers to produce and supply its products, and it expects to rely on third parties to manufacture the commercialized products as well. Reliance on third -party manufacturers entails risks to which Microbot would not be subject if Microbot manufactured its product candidates or future commercial products itself, including:</w:t>
      </w:r>
    </w:p>
    <w:p>
      <w:pPr>
        <w:spacing w:after="0" w:line="184" w:lineRule="exact"/>
        <w:rPr>
          <w:sz w:val="20"/>
          <w:szCs w:val="20"/>
          <w:color w:val="auto"/>
        </w:rPr>
      </w:pPr>
    </w:p>
    <w:p>
      <w:pPr>
        <w:ind w:left="720" w:hanging="419"/>
        <w:spacing w:after="0" w:line="247"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limitations on supply availability resulting from capacity, internal operational problems or scheduling constraints of third parties;</w:t>
      </w:r>
    </w:p>
    <w:p>
      <w:pPr>
        <w:spacing w:after="0" w:line="2" w:lineRule="exact"/>
        <w:rPr>
          <w:sz w:val="20"/>
          <w:szCs w:val="20"/>
          <w:color w:val="auto"/>
        </w:rPr>
      </w:pPr>
    </w:p>
    <w:p>
      <w:pPr>
        <w:ind w:left="720" w:hanging="419"/>
        <w:spacing w:after="0" w:line="226" w:lineRule="auto"/>
        <w:tabs>
          <w:tab w:leader="none" w:pos="700" w:val="left"/>
        </w:tabs>
        <w:rPr>
          <w:sz w:val="20"/>
          <w:szCs w:val="20"/>
          <w:color w:val="auto"/>
        </w:rPr>
      </w:pPr>
      <w:r>
        <w:rPr>
          <w:rFonts w:ascii="PMingLiU" w:cs="PMingLiU" w:eastAsia="PMingLiU" w:hAnsi="PMingLiU"/>
          <w:sz w:val="20"/>
          <w:szCs w:val="20"/>
          <w:color w:val="auto"/>
        </w:rPr>
        <w:t xml:space="preserve"> </w:t>
        <w:tab/>
        <w:t>SRWHQWLDOUHJXODWRU\QRQFRPSOLDQFHRURWKHUYLRODWLRQVE\WKHWKLUG</w:t>
      </w:r>
      <w:r>
        <w:rPr>
          <w:rFonts w:ascii="Times New Roman" w:cs="Times New Roman" w:eastAsia="Times New Roman" w:hAnsi="Times New Roman"/>
          <w:sz w:val="20"/>
          <w:szCs w:val="20"/>
          <w:color w:val="auto"/>
        </w:rPr>
        <w:t>party manufacturer that could result in</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quality assurance;</w:t>
      </w:r>
    </w:p>
    <w:p>
      <w:pPr>
        <w:ind w:left="720" w:hanging="419"/>
        <w:spacing w:after="0" w:line="233"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the possible breach of manufacturing agreements by third parties because of various factors beyond Microbot’s control; and</w:t>
      </w:r>
    </w:p>
    <w:p>
      <w:pPr>
        <w:spacing w:after="0" w:line="1" w:lineRule="exact"/>
        <w:rPr>
          <w:sz w:val="20"/>
          <w:szCs w:val="20"/>
          <w:color w:val="auto"/>
        </w:rPr>
      </w:pPr>
    </w:p>
    <w:p>
      <w:pPr>
        <w:ind w:left="720" w:hanging="419"/>
        <w:spacing w:after="0" w:line="230" w:lineRule="auto"/>
        <w:tabs>
          <w:tab w:leader="none" w:pos="700" w:val="left"/>
        </w:tabs>
        <w:rPr>
          <w:sz w:val="20"/>
          <w:szCs w:val="20"/>
          <w:color w:val="auto"/>
        </w:rPr>
      </w:pPr>
      <w:r>
        <w:rPr>
          <w:rFonts w:ascii="PMingLiU" w:cs="PMingLiU" w:eastAsia="PMingLiU" w:hAnsi="PMingLiU"/>
          <w:sz w:val="20"/>
          <w:szCs w:val="20"/>
          <w:color w:val="auto"/>
        </w:rPr>
        <w:t xml:space="preserve"> </w:t>
        <w:tab/>
        <w:t>WKHSRVVLEOHWHUPLQDWLRQRUQRQ</w:t>
      </w:r>
      <w:r>
        <w:rPr>
          <w:rFonts w:ascii="Times New Roman" w:cs="Times New Roman" w:eastAsia="Times New Roman" w:hAnsi="Times New Roman"/>
          <w:sz w:val="20"/>
          <w:szCs w:val="20"/>
          <w:color w:val="auto"/>
        </w:rPr>
        <w:t>renewal of manufacturing agreements by third parties for various reasons</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beyond Microbot’s control, at a time that is costly or inconvenient to Microbot.</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If Microbot is not able to maintain its key manufacturing relationships, Microbot may fail to find replacement manufacturers or develop its own manufacturing capabilities, which could delay or impair Microbot’s ability to supply products for its customers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9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Microbot’s products and product candidates are not considered to be a safe and effective alternative to existing technologies, Microbot will not be commercially successful.</w:t>
      </w:r>
    </w:p>
    <w:p>
      <w:pPr>
        <w:spacing w:after="0" w:line="16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and any other of our product candidates from time to time rely or are expected to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 associated with the use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1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Microbot may be subject to penalties and may be precluded from marketing its products and product candidates if Microbot fails to comply with extensive governmental regulations.</w:t>
      </w:r>
    </w:p>
    <w:p>
      <w:pPr>
        <w:spacing w:after="0" w:line="1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Microbot’s medical device products are categorized as Class II devices, which required a 510(k) or 510(k) de- novo premarket submission to the FDA. In addition, Microbot believes that any future medical device products it may develop would also likely be categorized as Class II devices. However, the FDA has not made any determination about whether Microbot’s contemplated future medical product candidates are Class II medical devices and may disagree with that classification. If the FDA determines that Microbot’s future product candidates should be reclassified as Class III medical devices, Microbot could be precluded from marketing the devices for clinical use within the United</w:t>
      </w:r>
    </w:p>
    <w:p>
      <w:pPr>
        <w:sectPr>
          <w:pgSz w:w="12240" w:h="15840" w:orient="portrait"/>
          <w:cols w:equalWidth="0" w:num="1">
            <w:col w:w="9360"/>
          </w:cols>
          <w:pgMar w:left="1440" w:top="1421" w:right="1440" w:bottom="450"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1421" w:right="1440" w:bottom="450" w:gutter="0" w:footer="0" w:header="0"/>
          <w:type w:val="continuous"/>
        </w:sectPr>
      </w:pPr>
    </w:p>
    <w:bookmarkStart w:id="25" w:name="page26"/>
    <w:bookmarkEnd w:id="25"/>
    <w:p>
      <w:pPr>
        <w:jc w:val="both"/>
        <w:spacing w:after="0" w:line="257" w:lineRule="auto"/>
        <w:rPr>
          <w:sz w:val="20"/>
          <w:szCs w:val="20"/>
          <w:color w:val="auto"/>
        </w:rPr>
      </w:pPr>
      <w:r>
        <w:rPr>
          <w:rFonts w:ascii="Times New Roman" w:cs="Times New Roman" w:eastAsia="Times New Roman" w:hAnsi="Times New Roman"/>
          <w:sz w:val="20"/>
          <w:szCs w:val="20"/>
          <w:color w:val="auto"/>
        </w:rPr>
        <w:t>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9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b w:val="1"/>
          <w:bCs w:val="1"/>
          <w:i w:val="1"/>
          <w:iCs w:val="1"/>
          <w:color w:val="auto"/>
        </w:rPr>
        <w:t>Microbot products may in the future be subject to mandatory product recalls that could harm its reputation, business and financial results.</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202" w:lineRule="exact"/>
        <w:rPr>
          <w:sz w:val="20"/>
          <w:szCs w:val="20"/>
          <w:color w:val="auto"/>
        </w:rPr>
      </w:pPr>
    </w:p>
    <w:p>
      <w:pPr>
        <w:ind w:left="720" w:hanging="42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untitled letters, warning letters, fines, injunctions, consent decrees and civil penalties;</w:t>
      </w:r>
    </w:p>
    <w:p>
      <w:pPr>
        <w:spacing w:after="0" w:line="28" w:lineRule="exact"/>
        <w:rPr>
          <w:rFonts w:ascii="Times New Roman" w:cs="Times New Roman" w:eastAsia="Times New Roman" w:hAnsi="Times New Roman"/>
          <w:sz w:val="20"/>
          <w:szCs w:val="20"/>
          <w:color w:val="auto"/>
        </w:rPr>
      </w:pPr>
    </w:p>
    <w:p>
      <w:pPr>
        <w:ind w:left="720" w:hanging="42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detention or seizure of Microbot products;</w:t>
      </w:r>
    </w:p>
    <w:p>
      <w:pPr>
        <w:ind w:left="720" w:hanging="42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restrictions or partial suspension or total shutdown of production;</w:t>
      </w:r>
    </w:p>
    <w:p>
      <w:pPr>
        <w:ind w:left="720" w:hanging="419"/>
        <w:spacing w:after="0"/>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refusing or delaying requests for 510(k) clearance or premarket approval of new products or modified products;</w:t>
      </w:r>
    </w:p>
    <w:p>
      <w:pPr>
        <w:ind w:left="720" w:hanging="420"/>
        <w:spacing w:after="0" w:line="238"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withdrawing 510(k) clearances or other types of regulatory authorizations -that have already been granted;</w:t>
      </w:r>
    </w:p>
    <w:p>
      <w:pPr>
        <w:ind w:left="720" w:hanging="42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refusing to grant export approval for Microbot products; or</w:t>
      </w:r>
    </w:p>
    <w:p>
      <w:pPr>
        <w:ind w:left="720" w:hanging="42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criminal prosecution.</w:t>
      </w:r>
    </w:p>
    <w:p>
      <w:pPr>
        <w:spacing w:after="0" w:line="20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If LIBERTY</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20"/>
          <w:szCs w:val="20"/>
          <w:b w:val="1"/>
          <w:bCs w:val="1"/>
          <w:i w:val="1"/>
          <w:iCs w:val="1"/>
          <w:color w:val="auto"/>
        </w:rPr>
        <w:t xml:space="preserve"> or other of Microbot’s future commercialized products cause or contribute to a death or a serious injury, Microbot will be subject to Medical Device Reporting regulations, which can result in voluntary corrective actions or agency enforcement actions.</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9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Microbot anticipates that in the future it is likely that it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1421" w:right="1440" w:bottom="450" w:gutter="0" w:footer="0" w:header="0"/>
          <w:type w:val="continuous"/>
        </w:sectPr>
      </w:pPr>
    </w:p>
    <w:bookmarkStart w:id="26" w:name="page27"/>
    <w:bookmarkEnd w:id="26"/>
    <w:p>
      <w:pPr>
        <w:jc w:val="both"/>
        <w:spacing w:after="0" w:line="277" w:lineRule="auto"/>
        <w:rPr>
          <w:sz w:val="20"/>
          <w:szCs w:val="20"/>
          <w:color w:val="auto"/>
        </w:rPr>
      </w:pPr>
      <w:r>
        <w:rPr>
          <w:rFonts w:ascii="Times New Roman" w:cs="Times New Roman" w:eastAsia="Times New Roman" w:hAnsi="Times New Roman"/>
          <w:sz w:val="20"/>
          <w:szCs w:val="20"/>
          <w:color w:val="auto"/>
        </w:rPr>
        <w:t>as well as defending Microbot in a lawsuit, will require the dedication of our time and capital, distract management from operating our business, and may harm our reputation and financial results.</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Microbot is dependent on its senior management, in particular Harel Gadot, Microbot’s Chairman, President and Chief Executive Officer, and the other senior executive. Although Microbot believes that its relationship with members of its senior management is positive, there can be no assurance that the services of any of these individuals will continue to be available to Microbot in the future.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Microbot does not carry, and does not intend to carry, any key person life insurance policies on any of its existing executive officers.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profitability may be negatively impacted by inflation in the cost of labor, materials, and services.</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Although inflation in the United States has declined since 2023, prices have continued to be significantly impacted by inflation relative to historical levels. This continued inflation has raised our costs for plastic products and other components of our LIBERTY device, thereby increasing our operating costs and capital expenditures. Additionally, the Trump administration has increased tariffs on many imports. The Trump administration has also imposed and expanded so called ‘reciprocal’ tariffs on a wide range of United States trading partners with which the United States has sizable trade imbalances and has announced or threatened additional increases on imports from Canada, Mexico, and other key partners. These and other import tariffs could substantially increase our operating and capital costs as we ramp up production and manufacturing of the LIBERTY device. Although we cannot predict any future inflation trends or the impact of current or future import tariffs, higher operating and capital costs would negatively impact our future profitability to the extent we are unable to recover such higher costs through passing them along to our customers.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International Business</w:t>
      </w:r>
    </w:p>
    <w:p>
      <w:pPr>
        <w:spacing w:after="0" w:line="23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b w:val="1"/>
          <w:bCs w:val="1"/>
          <w:i w:val="1"/>
          <w:iCs w:val="1"/>
          <w:color w:val="auto"/>
        </w:rPr>
        <w:t xml:space="preserve">If Microbot fails to obtain regulatory clearances in other countries for </w:t>
      </w:r>
      <w:r>
        <w:rPr>
          <w:rFonts w:ascii="Times New Roman" w:cs="Times New Roman" w:eastAsia="Times New Roman" w:hAnsi="Times New Roman"/>
          <w:sz w:val="20"/>
          <w:szCs w:val="20"/>
          <w:color w:val="auto"/>
        </w:rPr>
        <w:t>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any other future</w:t>
      </w:r>
      <w:r>
        <w:rPr>
          <w:rFonts w:ascii="Times New Roman" w:cs="Times New Roman" w:eastAsia="Times New Roman" w:hAnsi="Times New Roman"/>
          <w:sz w:val="20"/>
          <w:szCs w:val="20"/>
          <w:b w:val="1"/>
          <w:bCs w:val="1"/>
          <w:i w:val="1"/>
          <w:iCs w:val="1"/>
          <w:color w:val="auto"/>
        </w:rPr>
        <w:t xml:space="preserve"> product candidates, Microbot will not be able to commercialize these products or product candidates in those countries.</w:t>
      </w:r>
    </w:p>
    <w:p>
      <w:pPr>
        <w:spacing w:after="0" w:line="19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order for Microbot to market its product candidates in countries other than the United States, it must comply with the safety and quality regulations in such countries.</w:t>
      </w:r>
    </w:p>
    <w:p>
      <w:pPr>
        <w:spacing w:after="0" w:line="1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w:t>
      </w:r>
    </w:p>
    <w:p>
      <w:pPr>
        <w:sectPr>
          <w:pgSz w:w="12240" w:h="15840" w:orient="portrait"/>
          <w:cols w:equalWidth="0" w:num="1">
            <w:col w:w="9360"/>
          </w:cols>
          <w:pgMar w:left="1440" w:top="1421" w:right="1440" w:bottom="450" w:gutter="0" w:footer="0" w:header="0"/>
        </w:sect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1421" w:right="1440" w:bottom="450" w:gutter="0" w:footer="0" w:header="0"/>
          <w:type w:val="continuous"/>
        </w:sectPr>
      </w:pPr>
    </w:p>
    <w:bookmarkStart w:id="27" w:name="page28"/>
    <w:bookmarkEnd w:id="27"/>
    <w:p>
      <w:pPr>
        <w:jc w:val="both"/>
        <w:spacing w:after="0" w:line="245" w:lineRule="auto"/>
        <w:rPr>
          <w:sz w:val="20"/>
          <w:szCs w:val="20"/>
          <w:color w:val="auto"/>
        </w:rPr>
      </w:pPr>
      <w:r>
        <w:rPr>
          <w:rFonts w:ascii="Times New Roman" w:cs="Times New Roman" w:eastAsia="Times New Roman" w:hAnsi="Times New Roman"/>
          <w:sz w:val="20"/>
          <w:szCs w:val="20"/>
          <w:color w:val="auto"/>
        </w:rPr>
        <w:t>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91"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19"/>
          <w:szCs w:val="19"/>
          <w:color w:val="auto"/>
        </w:rPr>
        <w:t>Although we engaged with a leading notified body to secure a CE Mark for sales of the LIBERTY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Endovascular Robotic Surgical System in Europe, it is not yet certain as to when we will secure the CE Mark, and we cannot be certain that we will be successful in complying with the requirements of the CE Certificate of Conformity and receiving a CE Mark for the LIBERTY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Endovascular Robotic Surgical System or other product candidates or in continuing to meet the requirements of the Medical Devices Directive in the European Economic Area (EEA).</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Microbot has submitted an application to AMAR based on its 510(k) clearance in the United States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Microbot operations in international markets involve inherent risks that Microbot may not be able to control.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80" w:lineRule="exact"/>
        <w:rPr>
          <w:sz w:val="20"/>
          <w:szCs w:val="20"/>
          <w:color w:val="auto"/>
        </w:rPr>
      </w:pPr>
    </w:p>
    <w:p>
      <w:pPr>
        <w:ind w:left="720" w:hanging="42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macroeconomic conditions affecting geographies where Microbot intends to do business;</w:t>
      </w:r>
    </w:p>
    <w:p>
      <w:pPr>
        <w:spacing w:after="0" w:line="26" w:lineRule="exact"/>
        <w:rPr>
          <w:rFonts w:ascii="Times New Roman" w:cs="Times New Roman" w:eastAsia="Times New Roman" w:hAnsi="Times New Roman"/>
          <w:sz w:val="20"/>
          <w:szCs w:val="20"/>
          <w:color w:val="auto"/>
        </w:rPr>
      </w:pPr>
    </w:p>
    <w:p>
      <w:pPr>
        <w:ind w:left="720" w:hanging="42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closing of international borders, including as a result of biohazards or pandemics;</w:t>
      </w:r>
    </w:p>
    <w:p>
      <w:pPr>
        <w:ind w:left="720" w:hanging="42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exchange rates;</w:t>
      </w:r>
    </w:p>
    <w:p>
      <w:pPr>
        <w:ind w:left="720" w:hanging="42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or social unrest or economic instability in a specific country or region;</w:t>
      </w:r>
    </w:p>
    <w:p>
      <w:pPr>
        <w:ind w:left="720" w:hanging="42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costs of doing business in certain foreign countries;</w:t>
      </w:r>
    </w:p>
    <w:p>
      <w:pPr>
        <w:ind w:left="720" w:hanging="42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infringement claims on foreign patents, copyrights or trademark rights;</w:t>
      </w:r>
    </w:p>
    <w:p>
      <w:pPr>
        <w:ind w:left="720" w:hanging="420"/>
        <w:spacing w:after="0" w:line="238"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and managing operations across disparate geographic areas;</w:t>
      </w:r>
    </w:p>
    <w:p>
      <w:pPr>
        <w:ind w:left="720" w:hanging="419"/>
        <w:spacing w:after="0"/>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difficulties associated with enforcing agreements and intellectual property rights through foreign legal systems;</w:t>
      </w:r>
    </w:p>
    <w:p>
      <w:pPr>
        <w:spacing w:after="0" w:line="1" w:lineRule="exact"/>
        <w:rPr>
          <w:sz w:val="20"/>
          <w:szCs w:val="20"/>
          <w:color w:val="auto"/>
        </w:rPr>
      </w:pPr>
    </w:p>
    <w:p>
      <w:pPr>
        <w:ind w:left="720" w:hanging="419"/>
        <w:spacing w:after="0"/>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trade protection measures and other regulatory requirements, which affect Microbot’s ability to import or export its product candidates from or to various countries;</w:t>
      </w:r>
    </w:p>
    <w:p>
      <w:pPr>
        <w:ind w:left="720" w:hanging="420"/>
        <w:spacing w:after="0" w:line="238"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tax consequences;</w:t>
      </w:r>
    </w:p>
    <w:p>
      <w:pPr>
        <w:ind w:left="720" w:hanging="42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unexpected changes in legal and regulatory requirements;</w:t>
      </w:r>
    </w:p>
    <w:p>
      <w:pPr>
        <w:ind w:left="720" w:hanging="42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military conflict, terrorist activities, natural disasters and medical epidemics; and</w:t>
      </w:r>
    </w:p>
    <w:p>
      <w:pPr>
        <w:ind w:left="720" w:hanging="42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Microbot’s ability to recruit and retain channel partners in foreign jurisdictions.</w:t>
      </w:r>
    </w:p>
    <w:p>
      <w:pPr>
        <w:spacing w:after="0" w:line="2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w:t>
      </w:r>
    </w:p>
    <w:p>
      <w:pPr>
        <w:sectPr>
          <w:pgSz w:w="12240" w:h="15840" w:orient="portrait"/>
          <w:cols w:equalWidth="0" w:num="1">
            <w:col w:w="9360"/>
          </w:cols>
          <w:pgMar w:left="1440" w:top="1421" w:right="1440" w:bottom="450" w:gutter="0" w:footer="0" w:header="0"/>
        </w:sect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1421" w:right="1440" w:bottom="450" w:gutter="0" w:footer="0" w:header="0"/>
          <w:type w:val="continuous"/>
        </w:sectPr>
      </w:pPr>
    </w:p>
    <w:bookmarkStart w:id="28" w:name="page29"/>
    <w:bookmarkEnd w:id="28"/>
    <w:p>
      <w:pPr>
        <w:jc w:val="both"/>
        <w:spacing w:after="0" w:line="257" w:lineRule="auto"/>
        <w:rPr>
          <w:sz w:val="20"/>
          <w:szCs w:val="20"/>
          <w:color w:val="auto"/>
        </w:rPr>
      </w:pPr>
      <w:r>
        <w:rPr>
          <w:rFonts w:ascii="Times New Roman" w:cs="Times New Roman" w:eastAsia="Times New Roman" w:hAnsi="Times New Roman"/>
          <w:sz w:val="20"/>
          <w:szCs w:val="20"/>
          <w:color w:val="auto"/>
        </w:rPr>
        <w:t>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Microbot’s Intellectual Property</w:t>
      </w:r>
    </w:p>
    <w:p>
      <w:pPr>
        <w:spacing w:after="0" w:line="23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litigation and infringement claims could cause Microbot to incur significant expenses or prevent Microbot from selling certain of its product candidates.</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8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 licensed patents that relate to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1421" w:right="1440" w:bottom="450" w:gutter="0" w:footer="0" w:header="0"/>
          <w:type w:val="continuous"/>
        </w:sectPr>
      </w:pPr>
    </w:p>
    <w:bookmarkStart w:id="29" w:name="page30"/>
    <w:bookmarkEnd w:id="29"/>
    <w:p>
      <w:pPr>
        <w:jc w:val="both"/>
        <w:spacing w:after="0" w:line="249" w:lineRule="auto"/>
        <w:rPr>
          <w:sz w:val="20"/>
          <w:szCs w:val="20"/>
          <w:color w:val="auto"/>
        </w:rPr>
      </w:pPr>
      <w:r>
        <w:rPr>
          <w:rFonts w:ascii="Times New Roman" w:cs="Times New Roman" w:eastAsia="Times New Roman" w:hAnsi="Times New Roman"/>
          <w:sz w:val="20"/>
          <w:szCs w:val="20"/>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Microbot’s long- 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Operations in Israel</w:t>
      </w:r>
    </w:p>
    <w:p>
      <w:pPr>
        <w:spacing w:after="0" w:line="23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Existing and historical risks relating to our operations in Israel are being exacerbated by the current military actions and operations, and related activities, following the U.S.-Israel joint attach on Iran.</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ongoing risks of operating in Israel have been exacerbated as a result of the October 7, 2023 surprise attack by hostile forces from Gaza, which led to Israeli military operation at first in Gaza, then in Lebanon, Syria, Yemen and Iran. These include security and economic risks, risks relating to our ability to sell or buy internationally, risk of economic instability, risk of exchange rate fluctuation negatively affecting operating costs, and the risk of employees leaving to perform military service. These military operations and related activities are on-going as of the filing date of this Annual Report on Form 10-K.</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Subsequent to the reporting period, on February 28, 2026, a military operation referred to as “Epic-Fury” commenced with a large-scale attack on Iran carried out in coordination with the United States. In response, Iran launched a counterattack that included the firing of ballistic missiles and unmanned aerial vehicles toward military and civilian targets in Israel. Additionally, Hezbollah, a terrorist organization in Lebanon, joined the attacks against Israel and Israel has started military operations in Lebanon.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a result, a special state of emergency was declared in Israel, which included, among other things, the closure of Israel’s airspace, restrictions on public gatherings, temporary closures and/or reduced operating hours of businesses, and the mobilization of military reservists, which have resulted in reduced economic activity.</w:t>
      </w:r>
    </w:p>
    <w:p>
      <w:pPr>
        <w:spacing w:after="0" w:line="1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has considered various ongoing risks relating to these and other military operation and related matters, including:</w:t>
      </w:r>
    </w:p>
    <w:p>
      <w:pPr>
        <w:spacing w:after="0" w:line="161" w:lineRule="exact"/>
        <w:rPr>
          <w:sz w:val="20"/>
          <w:szCs w:val="20"/>
          <w:color w:val="auto"/>
        </w:rPr>
      </w:pPr>
    </w:p>
    <w:p>
      <w:pPr>
        <w:ind w:left="720" w:hanging="419"/>
        <w:spacing w:after="0" w:line="247"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That some of our Israeli subcontractors, vendors, suppliers and other companies in which the Company relies, may not be fully active and operational, as instructed by the relevant authorities;</w:t>
      </w:r>
    </w:p>
    <w:p>
      <w:pPr>
        <w:ind w:left="300"/>
        <w:spacing w:after="0" w:line="229"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A slowdown in the number of international flights in and out of Israel;</w:t>
      </w:r>
    </w:p>
    <w:p>
      <w:pPr>
        <w:spacing w:after="0" w:line="1" w:lineRule="exact"/>
        <w:rPr>
          <w:sz w:val="20"/>
          <w:szCs w:val="20"/>
          <w:color w:val="auto"/>
        </w:rPr>
      </w:pPr>
    </w:p>
    <w:p>
      <w:pPr>
        <w:ind w:left="300"/>
        <w:spacing w:after="0"/>
        <w:tabs>
          <w:tab w:leader="none" w:pos="700" w:val="left"/>
        </w:tabs>
        <w:rPr>
          <w:sz w:val="20"/>
          <w:szCs w:val="20"/>
          <w:color w:val="auto"/>
        </w:rPr>
      </w:pPr>
      <w:r>
        <w:rPr>
          <w:rFonts w:ascii="PMingLiU" w:cs="PMingLiU" w:eastAsia="PMingLiU" w:hAnsi="PMingLiU"/>
          <w:sz w:val="17"/>
          <w:szCs w:val="17"/>
          <w:color w:val="auto"/>
        </w:rPr>
        <w:t xml:space="preserve"> </w:t>
      </w:r>
      <w:r>
        <w:rPr>
          <w:sz w:val="20"/>
          <w:szCs w:val="20"/>
          <w:color w:val="auto"/>
        </w:rPr>
        <w:tab/>
      </w:r>
      <w:r>
        <w:rPr>
          <w:rFonts w:ascii="PMingLiU" w:cs="PMingLiU" w:eastAsia="PMingLiU" w:hAnsi="PMingLiU"/>
          <w:sz w:val="17"/>
          <w:szCs w:val="17"/>
          <w:color w:val="auto"/>
        </w:rPr>
        <w:t>7KHGHFUHDVLQJLQWHUQDWLRQDOUHJDUGIRU,VUDHOL</w:t>
      </w:r>
      <w:r>
        <w:rPr>
          <w:rFonts w:ascii="Times New Roman" w:cs="Times New Roman" w:eastAsia="Times New Roman" w:hAnsi="Times New Roman"/>
          <w:sz w:val="17"/>
          <w:szCs w:val="17"/>
          <w:color w:val="auto"/>
        </w:rPr>
        <w:t>based companies in certain quarters, including as a result of</w:t>
      </w:r>
    </w:p>
    <w:p>
      <w:pPr>
        <w:spacing w:after="0" w:line="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Israeli government’s policies in Gaza and the West Bank; and</w:t>
      </w:r>
    </w:p>
    <w:p>
      <w:pPr>
        <w:ind w:left="300"/>
        <w:spacing w:after="0"/>
        <w:tabs>
          <w:tab w:leader="none" w:pos="700" w:val="left"/>
        </w:tabs>
        <w:rPr>
          <w:sz w:val="20"/>
          <w:szCs w:val="20"/>
          <w:color w:val="auto"/>
        </w:rPr>
      </w:pPr>
      <w:r>
        <w:rPr>
          <w:rFonts w:ascii="PMingLiU" w:cs="PMingLiU" w:eastAsia="PMingLiU" w:hAnsi="PMingLiU"/>
          <w:sz w:val="17"/>
          <w:szCs w:val="17"/>
          <w:color w:val="auto"/>
        </w:rPr>
        <w:t xml:space="preserve"> </w:t>
        <w:tab/>
        <w:t>3RVVLEOHDQGDFWXDOER\FRWWVRI,VUDHODQG,VUDHOL</w:t>
      </w:r>
      <w:r>
        <w:rPr>
          <w:rFonts w:ascii="Times New Roman" w:cs="Times New Roman" w:eastAsia="Times New Roman" w:hAnsi="Times New Roman"/>
          <w:sz w:val="17"/>
          <w:szCs w:val="17"/>
          <w:color w:val="auto"/>
        </w:rPr>
        <w:t>based companies, which may adversely affect our ability to</w:t>
      </w:r>
    </w:p>
    <w:p>
      <w:pPr>
        <w:spacing w:after="0" w:line="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do business in certain jurisdictions or with certain industry groups or potential customers, among others.</w:t>
      </w:r>
    </w:p>
    <w:p>
      <w:pPr>
        <w:spacing w:after="0" w:line="20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9"/>
          <w:szCs w:val="19"/>
          <w:color w:val="auto"/>
        </w:rPr>
        <w:t>The Company closely monitors how these and other military operation and related activities could adversely affect its anticipated milestones and its Israel-based activities to support future commercial, clinical and regulatory milestones, including the Company’s ability to import materials that are required to construct the LIBERTY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devices and to ship</w:t>
      </w:r>
    </w:p>
    <w:p>
      <w:pPr>
        <w:sectPr>
          <w:pgSz w:w="12240" w:h="15840" w:orient="portrait"/>
          <w:cols w:equalWidth="0" w:num="1">
            <w:col w:w="9360"/>
          </w:cols>
          <w:pgMar w:left="1440" w:top="1421" w:right="1440" w:bottom="450" w:gutter="0" w:footer="0" w:header="0"/>
        </w:sectPr>
      </w:pP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1421" w:right="1440" w:bottom="450" w:gutter="0" w:footer="0" w:header="0"/>
          <w:type w:val="continuous"/>
        </w:sectPr>
      </w:pPr>
    </w:p>
    <w:bookmarkStart w:id="30" w:name="page31"/>
    <w:bookmarkEnd w:id="30"/>
    <w:p>
      <w:pPr>
        <w:jc w:val="both"/>
        <w:spacing w:after="0" w:line="244" w:lineRule="auto"/>
        <w:rPr>
          <w:sz w:val="20"/>
          <w:szCs w:val="20"/>
          <w:color w:val="auto"/>
        </w:rPr>
      </w:pPr>
      <w:r>
        <w:rPr>
          <w:rFonts w:ascii="Times New Roman" w:cs="Times New Roman" w:eastAsia="Times New Roman" w:hAnsi="Times New Roman"/>
          <w:sz w:val="20"/>
          <w:szCs w:val="20"/>
          <w:color w:val="auto"/>
        </w:rPr>
        <w:t>them outside of Israel. In addition, we are also monitoring how negative international reaction to the events in Gaza, the West Bank, Iran and elsewhere in the Middle East could create a corresponding negative perception of companies with Israeli operations, which if broad enough, could negatively impact our business. As of the filing date of this Annual Report on Form 10-K, the Company has determined that there have not been any materially adverse effects on its business or operations, but it continues to monitor the situation, as in the event that the situation escalates into an even greater regional conflict or our Israeli facilities are damaged as a result of hostile actions, or hostilities otherwise disrupt our Israeli office’s support of our commercial, clinical and regulatory activities, our Israeli operations could be materially and adversely affected. We do not have any specific contingency plans in the event of any such escalation or change.</w:t>
      </w:r>
    </w:p>
    <w:p>
      <w:pPr>
        <w:spacing w:after="0" w:line="195"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Microbot has facilities located in Israel, and therefore, political conditions in Israel may affect Microbot’s operations and results.</w:t>
      </w:r>
    </w:p>
    <w:p>
      <w:pPr>
        <w:spacing w:after="0" w:line="16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including the current armed conflict.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Political relations could limit Microbot’s ability to sell or buy internationally.</w:t>
      </w:r>
    </w:p>
    <w:p>
      <w:pPr>
        <w:spacing w:after="0" w:line="2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Israel’s economy may become unstable.</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9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Exchange rate fluctuations between the U.S. dollar and the NIS currencies may negatively affect Microbot’s operating costs.</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 significant portion of Microbot’s expenses are paid in New Israeli Shekels, or NIS, but its financial statements are denominated in U.S. dollars. As a result, Microbot is exposed to the risks that the NIS may appreciate relative to the</w:t>
      </w:r>
    </w:p>
    <w:p>
      <w:pPr>
        <w:sectPr>
          <w:pgSz w:w="12240" w:h="15840" w:orient="portrait"/>
          <w:cols w:equalWidth="0" w:num="1">
            <w:col w:w="9360"/>
          </w:cols>
          <w:pgMar w:left="1440" w:top="1421" w:right="1440" w:bottom="45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1421" w:right="1440" w:bottom="450" w:gutter="0" w:footer="0" w:header="0"/>
          <w:type w:val="continuous"/>
        </w:sectPr>
      </w:pPr>
    </w:p>
    <w:bookmarkStart w:id="31" w:name="page32"/>
    <w:bookmarkEnd w:id="31"/>
    <w:p>
      <w:pPr>
        <w:jc w:val="both"/>
        <w:spacing w:after="0" w:line="249" w:lineRule="auto"/>
        <w:rPr>
          <w:sz w:val="20"/>
          <w:szCs w:val="20"/>
          <w:color w:val="auto"/>
        </w:rPr>
      </w:pPr>
      <w:r>
        <w:rPr>
          <w:rFonts w:ascii="Times New Roman" w:cs="Times New Roman" w:eastAsia="Times New Roman" w:hAnsi="Times New Roman"/>
          <w:sz w:val="20"/>
          <w:szCs w:val="20"/>
          <w:color w:val="auto"/>
        </w:rPr>
        <w:t>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Funding and other benefits provided by Israeli government programs may be terminated or reduced in the future and the terms of such funding may have an impact on future corporate decisions.</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7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Microbot’s research and development efforts from inception until now have been financed in part through such Israeli Innovation Authority royalty bearing grants in an aggregate amount of approximately $2.5 million through December 31, 2025. During 2025 year the Israeli Innovation Authority approved additional grant in the amount of approximately NIS 2.2 million, to further finance the development of the Company’s manufacturing process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w:t>
      </w:r>
    </w:p>
    <w:p>
      <w:pPr>
        <w:spacing w:after="0" w:line="19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Furthermore, as of December 31, 2025, the Company received grants from the Ministry of Economy of the State of Israel in the amount of approximately $50,000, to further finance the marketing activities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in the U.S. market.</w:t>
      </w:r>
    </w:p>
    <w:p>
      <w:pPr>
        <w:spacing w:after="0" w:line="1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In addition, as a result of our 2022 agreement with Nitiloop, we took over the liability to repay Nitiloop’s IIA grants in the amount of approximately $925,000.</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With respect to such grants Microbot is committed to pay royalties at a rate of between 3% to 3.5% on sales proceeds up to the total amount of grants received, linked to the dollar, plus interest at an annual rate of SOFR, a benchmark interest rate which replaced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1421" w:right="1440" w:bottom="45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i w:val="1"/>
          <w:iCs w:val="1"/>
          <w:color w:val="auto"/>
        </w:rPr>
        <w:t>Some of Microbot’s employees are obligated to perform military reserve duty in Israel.</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It may be difficult to enforce a non-Israeli judgment against Microbot or its officers and directors.</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Microbot’s Securities, Governance and Other Matters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further reverse stock split or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 counter market or on an electronic bulletin board established for unlisted securities such as the OTC Marketplace. In such event, it could become more difficult to dispose of, or obtain accurate price quotations for, our common stock, there would likely also be a reduction in our coverage by securities analysts and the news media, which could cause the price of our common stock to decline further, and it may be more difficult to raise capital on acceptable terms or at 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expect to pay cash dividends on our common stock.</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6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Provisions in the Company’s certificate of incorporation and bylaws may delay or prevent an acquisition or a change in management. These provisions include a classified board of directors. In addition, because the Company is</w:t>
      </w:r>
    </w:p>
    <w:p>
      <w:pPr>
        <w:sectPr>
          <w:pgSz w:w="12240" w:h="15840" w:orient="portrait"/>
          <w:cols w:equalWidth="0" w:num="1">
            <w:col w:w="9360"/>
          </w:cols>
          <w:pgMar w:left="1440" w:top="1421" w:right="1440" w:bottom="450" w:gutter="0" w:footer="0" w:header="0"/>
        </w:sectPr>
      </w:pP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1421" w:right="1440" w:bottom="450" w:gutter="0" w:footer="0" w:header="0"/>
          <w:type w:val="continuous"/>
        </w:sectPr>
      </w:pPr>
    </w:p>
    <w:bookmarkStart w:id="33" w:name="page34"/>
    <w:bookmarkEnd w:id="33"/>
    <w:p>
      <w:pPr>
        <w:jc w:val="both"/>
        <w:spacing w:after="0" w:line="245" w:lineRule="auto"/>
        <w:rPr>
          <w:sz w:val="20"/>
          <w:szCs w:val="20"/>
          <w:color w:val="auto"/>
        </w:rPr>
      </w:pPr>
      <w:r>
        <w:rPr>
          <w:rFonts w:ascii="Times New Roman" w:cs="Times New Roman" w:eastAsia="Times New Roman" w:hAnsi="Times New Roman"/>
          <w:sz w:val="20"/>
          <w:szCs w:val="20"/>
          <w:color w:val="auto"/>
        </w:rPr>
        <w:t>incorporated in Delaware, it is governed by the provisions of Section 203 of the Delaware General Corporation Law, which generally prohibits stockholders owning in excess of 15% of outstanding voting stock from merging or combining with the Company unless the Company meets the requirements of such section.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Political, social and geopolitical conditions can adversely affect our business.</w:t>
      </w:r>
    </w:p>
    <w:p>
      <w:pPr>
        <w:spacing w:after="0" w:line="23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Political, social and geopolitical conditions in the markets in which our products are expected to be sold have been and could continue to be difficult to predict, resulting in adverse effects on our business. The results of elections, referendums or other political conditions (including government shutdowns), geopolitical events and tensions, wars and other military conflicts in these markets have in the past impacted and could continue to impact how existing laws, regulations and government programs or policies are implemented or result in uncertainty as to how such laws, regulations, programs or policies may change, including with respect to the negotiation of new trade agreements, new, expanded or retaliatory tariffs against certain countries or covering certain products or ingredients, sanctions, environmental and climate change regulations, taxes, benefit programs, the movement of goods, services and people between countries, relationships between countries, customer or consumer perception of a particular country or its government and other matters. Such conditions have resulted in and could continue to result in exchange rate fluctuation, limitations on access to credit markets and other corporate banking services, including working capital facilities, volatility in global stock markets and global economic uncertainty and heightened risk to employee safety, any of which can adversely affect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Political uncertainty may have an adverse impact on our operating performance and results of operations.</w:t>
      </w:r>
    </w:p>
    <w:p>
      <w:pPr>
        <w:spacing w:after="0" w:line="2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General political uncertainty may have an adverse impact on our operating performance and results of operations. In particular, the U.S. continues to experience significant political events that cast uncertainty on global financial and economic markets, especially following the recent presidential election. It is presently unclear as to all of the actions the second Trump administration in the U.S. will implement, and if implemented, how these actions may impact us or how we operate in the U.S., particularly any changes in personnel or processes or procedures at the FDA. Any actions taken by the Trump administration, including the many recent executive orders, may have a negative impact on the U.S. economy in general and on our business, financial condition, and results of operations in particular, especially if any such impact delays our planned 510(k) approval.</w:t>
      </w:r>
    </w:p>
    <w:p>
      <w:pPr>
        <w:spacing w:after="0" w:line="19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the Company’s investors, restrict its operations or require it to relinquish rights to its technologies or product candidates.</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Until such time, if ever, as the Company is profitable, it expects to finance its cash needs through a combination of equity offerings, including possibly through an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w:t>
      </w:r>
    </w:p>
    <w:p>
      <w:pPr>
        <w:sectPr>
          <w:pgSz w:w="12240" w:h="15840" w:orient="portrait"/>
          <w:cols w:equalWidth="0" w:num="1">
            <w:col w:w="9360"/>
          </w:cols>
          <w:pgMar w:left="1440" w:top="1421" w:right="1440" w:bottom="45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1421" w:right="1440" w:bottom="450" w:gutter="0" w:footer="0" w:header="0"/>
          <w:type w:val="continuous"/>
        </w:sectPr>
      </w:pPr>
    </w:p>
    <w:bookmarkStart w:id="34" w:name="page35"/>
    <w:bookmarkEnd w:id="34"/>
    <w:p>
      <w:pPr>
        <w:jc w:val="both"/>
        <w:spacing w:after="0" w:line="277" w:lineRule="auto"/>
        <w:rPr>
          <w:sz w:val="20"/>
          <w:szCs w:val="20"/>
          <w:color w:val="auto"/>
        </w:rPr>
      </w:pPr>
      <w:r>
        <w:rPr>
          <w:rFonts w:ascii="Times New Roman" w:cs="Times New Roman" w:eastAsia="Times New Roman" w:hAnsi="Times New Roman"/>
          <w:sz w:val="20"/>
          <w:szCs w:val="20"/>
          <w:color w:val="auto"/>
        </w:rPr>
        <w:t>limit, reduce or terminate its product development or future commercialization efforts or grant rights to develop and market product candidates that it would otherwise prefer to develop and market itself.</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and any other products that it may from time to time seek to develop or commercialize in the future.</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or any other product that Microbot may develop. Many of Microbot’s potential competitors have significantly greater financial resources and expertise in research and development, manufacturing, preclinical and 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Information technology failures and data security breaches could harm our business.</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use information technology, digital communications and other computer resources to carry out important operational and marketing activities and to maintain our business records. We have implemented systems and processes intended to address ongoing and evolving cyber security risks, secure our information technology, applications and computer systems, and prevent unauthorized access to or loss of sensitive, confidential and personal data. We also depend on various partners and providers, and our software partners, to secure personal identifiable and confidential information. We provide regular personnel awareness training regarding potential cyber security threats, including the use of internal tips, reminders and phishing assessments, to help ensure employees remain diligent in identifying potential risks. In addition, we have deployed monitoring capabilities to support early detection, internal and external escalation, and effective responses to potential anomalies. However, cyberattacks or other security breaches may remain undetected over an extended period of time and may not be addressed in a timely manner to minimize the impact, which could result in substantial costs. Many of our information technology and other computer resources are provided to us and/or maintained on our behalf by third-party service providers pursuant to agreements that specify to varying degrees certain security and service level standards. We also rely upon our third-party service providers to maintain effective cyber security measures to keep our information secure and to carry cyber insurance. Although we and our service providers employ what we believe are adequate security, disaster recovery and other preventative and corrective measures, our security measures, taken as a whole, may not be sufficient for all possible situations and may be vulnerable to, among other things, hacking, employee error, system error and faulty password management.</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ability to conduct our business may be impaired if these information technology and computer resources, including our website and customer-facing applications, are compromised, degraded or damaged or if they fail, whether due to a virus or other harmful circumstance, intentional penetration or disruption of our information technology resources by a third party, natural disaster, hardware or software corruption or failure or error (including a failure of security controls incorporated into or applied to such hardware or software), telecommunications system failure, service provider error or failure or intentional or unintentional personnel actions (including the failure to follow our security protocols), or lost connectivity to our networked resources. A significant disruption in the functioning of these resources, or breach thereof, including our website, could damage our reputation and cause us to lose customers, sales and revenue.</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1421" w:right="1440" w:bottom="450" w:gutter="0" w:footer="0" w:header="0"/>
          <w:type w:val="continuous"/>
        </w:sectPr>
      </w:pPr>
    </w:p>
    <w:bookmarkStart w:id="35" w:name="page36"/>
    <w:bookmarkEnd w:id="35"/>
    <w:p>
      <w:pPr>
        <w:jc w:val="both"/>
        <w:spacing w:after="0" w:line="242" w:lineRule="auto"/>
        <w:rPr>
          <w:sz w:val="20"/>
          <w:szCs w:val="20"/>
          <w:color w:val="auto"/>
        </w:rPr>
      </w:pPr>
      <w:r>
        <w:rPr>
          <w:rFonts w:ascii="Times New Roman" w:cs="Times New Roman" w:eastAsia="Times New Roman" w:hAnsi="Times New Roman"/>
          <w:sz w:val="20"/>
          <w:szCs w:val="20"/>
          <w:color w:val="auto"/>
        </w:rPr>
        <w:t>In addition, breaches of our information technology systems or data security systems, including cyberattacks and malicious uses of artificial intelligence, could result in the unintended and/or unauthorized public disclosure or the misappropriation of proprietary, personal identifying and confidential information (including information we collect and retain in connection with our business, business partners and employees), and require us to incur significant expense (that we may not be able to recover in whole or in part from our service providers or responsible parties, or their or our insurers) to address and remediate or otherwise resolve. The unintended and/or unauthorized public disclosure or the misappropriation of proprietary, personal identifying or confidential information may also lead to litigation or other proceedings against us by affected individuals and/or business partners and/or by regulators, and the outcome of such proceedings, which could include losses, penalties, fines, injunctions, expenses and charges recorded against our earnings, could have a material and adverse effect on our financial condition, results of operations and cash flows and harm our reputation. In addition, the costs of maintaining adequate protection against such threats, based on considerations of their evolution, increasing sophistication, pervasiveness and frequency and/or increasingly demanding government-mandated standards or obligations regarding information security and privacy, could be material to our consolidated financial statements in a particular period or over various periods.</w:t>
      </w:r>
    </w:p>
    <w:p>
      <w:pPr>
        <w:spacing w:after="0" w:line="20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have in the past and may again in the future pursue other acquisitions of businesses and technologies. Acquisitions entail numerous risks, including:</w:t>
      </w:r>
    </w:p>
    <w:p>
      <w:pPr>
        <w:spacing w:after="0" w:line="158" w:lineRule="exact"/>
        <w:rPr>
          <w:sz w:val="20"/>
          <w:szCs w:val="20"/>
          <w:color w:val="auto"/>
        </w:rPr>
      </w:pPr>
    </w:p>
    <w:p>
      <w:pPr>
        <w:ind w:left="720" w:hanging="42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the integration of acquired operations, services and products;</w:t>
      </w:r>
    </w:p>
    <w:p>
      <w:pPr>
        <w:spacing w:after="0" w:line="28" w:lineRule="exact"/>
        <w:rPr>
          <w:rFonts w:ascii="Times New Roman" w:cs="Times New Roman" w:eastAsia="Times New Roman" w:hAnsi="Times New Roman"/>
          <w:sz w:val="20"/>
          <w:szCs w:val="20"/>
          <w:color w:val="auto"/>
        </w:rPr>
      </w:pPr>
    </w:p>
    <w:p>
      <w:pPr>
        <w:ind w:left="720" w:hanging="42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achieve expected synergies;</w:t>
      </w:r>
    </w:p>
    <w:p>
      <w:pPr>
        <w:ind w:left="720" w:hanging="42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 from other business concerns;</w:t>
      </w:r>
    </w:p>
    <w:p>
      <w:pPr>
        <w:ind w:left="720" w:hanging="420"/>
        <w:spacing w:after="0" w:line="238"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assumption of unknown material liabilities of acquired companies;</w:t>
      </w:r>
    </w:p>
    <w:p>
      <w:pPr>
        <w:ind w:left="720" w:hanging="42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acquired intangible assets, which could reduce future reported earnings;</w:t>
      </w:r>
    </w:p>
    <w:p>
      <w:pPr>
        <w:ind w:left="720" w:hanging="42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funding to properly and adequately develop and commercialize the technologies acquired;</w:t>
      </w:r>
    </w:p>
    <w:p>
      <w:pPr>
        <w:ind w:left="720" w:hanging="42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loss of clients or key employees of acquired companies; and</w:t>
      </w:r>
    </w:p>
    <w:p>
      <w:pPr>
        <w:ind w:left="720" w:hanging="42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dilution to existing stockholders.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or do not have the capital to advance its development or commercialization.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for our common stock may be volatile.</w:t>
      </w:r>
    </w:p>
    <w:p>
      <w:pPr>
        <w:spacing w:after="0" w:line="23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The market price for our common stock may be volatile and subject to wide fluctuations in response to factors including the following:</w:t>
      </w:r>
    </w:p>
    <w:p>
      <w:pPr>
        <w:spacing w:after="0" w:line="164" w:lineRule="exact"/>
        <w:rPr>
          <w:sz w:val="20"/>
          <w:szCs w:val="20"/>
          <w:color w:val="auto"/>
        </w:rPr>
      </w:pPr>
    </w:p>
    <w:p>
      <w:pPr>
        <w:ind w:left="720" w:hanging="42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quarterly or annual operating results;</w:t>
      </w:r>
    </w:p>
    <w:p>
      <w:pPr>
        <w:spacing w:after="0" w:line="28" w:lineRule="exact"/>
        <w:rPr>
          <w:rFonts w:ascii="Times New Roman" w:cs="Times New Roman" w:eastAsia="Times New Roman" w:hAnsi="Times New Roman"/>
          <w:sz w:val="20"/>
          <w:szCs w:val="20"/>
          <w:color w:val="auto"/>
        </w:rPr>
      </w:pPr>
    </w:p>
    <w:p>
      <w:pPr>
        <w:ind w:left="720" w:hanging="42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financial or operational estimates or projections;</w:t>
      </w:r>
    </w:p>
    <w:p>
      <w:pPr>
        <w:ind w:left="720" w:hanging="42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conditions in markets generally;</w:t>
      </w:r>
    </w:p>
    <w:p>
      <w:pPr>
        <w:ind w:left="720" w:hanging="420"/>
        <w:spacing w:after="0" w:line="237"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economic performance or market valuations of companies similar to ours;</w:t>
      </w:r>
    </w:p>
    <w:p>
      <w:pPr>
        <w:spacing w:after="0" w:line="1" w:lineRule="exact"/>
        <w:rPr>
          <w:sz w:val="20"/>
          <w:szCs w:val="20"/>
          <w:color w:val="auto"/>
        </w:rPr>
      </w:pPr>
    </w:p>
    <w:p>
      <w:pPr>
        <w:ind w:left="720" w:hanging="419"/>
        <w:spacing w:after="0" w:line="248" w:lineRule="auto"/>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announcements by us or our competitors of new products, acquisitions, strategic partnerships, joint ventures or capital commitments;</w:t>
      </w:r>
    </w:p>
    <w:p>
      <w:pPr>
        <w:sectPr>
          <w:pgSz w:w="12240" w:h="15840" w:orient="portrait"/>
          <w:cols w:equalWidth="0" w:num="1">
            <w:col w:w="9360"/>
          </w:cols>
          <w:pgMar w:left="1440" w:top="1421" w:right="1440" w:bottom="450"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1421" w:right="1440" w:bottom="450" w:gutter="0" w:footer="0" w:header="0"/>
          <w:type w:val="continuous"/>
        </w:sectPr>
      </w:pPr>
    </w:p>
    <w:bookmarkStart w:id="36" w:name="page37"/>
    <w:bookmarkEnd w:id="36"/>
    <w:p>
      <w:pPr>
        <w:ind w:left="300"/>
        <w:spacing w:after="0" w:line="268"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our intellectual property position; and</w:t>
      </w:r>
    </w:p>
    <w:p>
      <w:pPr>
        <w:ind w:left="300"/>
        <w:spacing w:after="0" w:line="237"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general economic or political conditions in the United States, Israel or elsewhere.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b w:val="1"/>
          <w:bCs w:val="1"/>
          <w:i w:val="1"/>
          <w:iCs w:val="1"/>
          <w:color w:val="auto"/>
        </w:rPr>
        <w:t>The issuance of shares upon exercise of outstanding warrants and options could cause immediate and substantial dilution to existing stockholders.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issuance of shares upon exercise of outstanding warrants and options could result in substantial dilution to the interests of other stockholders since the holders of such securities may ultimately convert and sell the full amount issuable on conversion.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1B. </w:t>
      </w:r>
      <w:r>
        <w:rPr>
          <w:rFonts w:ascii="Times New Roman" w:cs="Times New Roman" w:eastAsia="Times New Roman" w:hAnsi="Times New Roman"/>
          <w:sz w:val="20"/>
          <w:szCs w:val="20"/>
          <w:b w:val="1"/>
          <w:bCs w:val="1"/>
          <w:u w:val="single" w:color="auto"/>
          <w:color w:val="auto"/>
        </w:rPr>
        <w:t>Unresolved Staff Comments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1C. </w:t>
      </w:r>
      <w:r>
        <w:rPr>
          <w:rFonts w:ascii="Times New Roman" w:cs="Times New Roman" w:eastAsia="Times New Roman" w:hAnsi="Times New Roman"/>
          <w:sz w:val="20"/>
          <w:szCs w:val="20"/>
          <w:b w:val="1"/>
          <w:bCs w:val="1"/>
          <w:u w:val="single" w:color="auto"/>
          <w:color w:val="auto"/>
        </w:rPr>
        <w:t>Cybersecurity</w:t>
      </w:r>
    </w:p>
    <w:p>
      <w:pPr>
        <w:spacing w:after="0" w:line="2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Since our formation, we have been primarily focused on research and development activities and pursuing FDA approval of our planned products, and only recently commenced building our commercial team and focusing on the commercialization of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We have 42 full-time employees and 1 hourly employee, of which 24 are based in the United States and 19 are based in Israel, and currently use third-party vendors and service providers for certain product development and regulatory approval activities.</w:t>
      </w:r>
    </w:p>
    <w:p>
      <w:pPr>
        <w:spacing w:after="0" w:line="19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We use a third-party sub-contractor to manage all Information Technology (IT) issues, including protection against, detection, and response to cyberattacks.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measures that are taken to ensure proper protection include:</w:t>
      </w:r>
    </w:p>
    <w:p>
      <w:pPr>
        <w:spacing w:after="0" w:line="229" w:lineRule="exact"/>
        <w:rPr>
          <w:sz w:val="20"/>
          <w:szCs w:val="20"/>
          <w:color w:val="auto"/>
        </w:rPr>
      </w:pPr>
    </w:p>
    <w:p>
      <w:pPr>
        <w:jc w:val="both"/>
        <w:ind w:left="720" w:hanging="419"/>
        <w:spacing w:after="0"/>
        <w:tabs>
          <w:tab w:leader="none" w:pos="700" w:val="left"/>
        </w:tabs>
        <w:rPr>
          <w:sz w:val="20"/>
          <w:szCs w:val="20"/>
          <w:color w:val="auto"/>
        </w:rPr>
      </w:pPr>
      <w:r>
        <w:rPr>
          <w:rFonts w:ascii="PMingLiU" w:cs="PMingLiU" w:eastAsia="PMingLiU" w:hAnsi="PMingLiU"/>
          <w:sz w:val="20"/>
          <w:szCs w:val="20"/>
          <w:color w:val="auto"/>
        </w:rPr>
        <w:t xml:space="preserve"> </w:t>
        <w:tab/>
        <w:t>$OOFRPSXWHUVDUHSURWHFWHGXVLQJDFORXG</w:t>
      </w:r>
      <w:r>
        <w:rPr>
          <w:rFonts w:ascii="Times New Roman" w:cs="Times New Roman" w:eastAsia="Times New Roman" w:hAnsi="Times New Roman"/>
          <w:sz w:val="20"/>
          <w:szCs w:val="20"/>
          <w:color w:val="auto"/>
        </w:rPr>
        <w:t>powered endpoint security solution that helps enterprises prevent,</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detect, investigate, and respond to advanced threats on their networks. It offers endpoint protection, endpoint detection and response, mobile threat defense, and integrated vulnerability management. It also provides, among other things, malware and spyware detection and remediation, rootkit detection and remediation and network vulnerability detection.</w:t>
      </w:r>
    </w:p>
    <w:p>
      <w:pPr>
        <w:ind w:left="300"/>
        <w:spacing w:after="0" w:line="232"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All Company computer hard drives are automatically encrypted.</w:t>
      </w:r>
    </w:p>
    <w:p>
      <w:pPr>
        <w:ind w:left="300"/>
        <w:spacing w:after="0"/>
        <w:tabs>
          <w:tab w:leader="none" w:pos="700" w:val="left"/>
        </w:tabs>
        <w:rPr>
          <w:sz w:val="20"/>
          <w:szCs w:val="20"/>
          <w:color w:val="auto"/>
        </w:rPr>
      </w:pPr>
      <w:r>
        <w:rPr>
          <w:rFonts w:ascii="PMingLiU" w:cs="PMingLiU" w:eastAsia="PMingLiU" w:hAnsi="PMingLiU"/>
          <w:sz w:val="18"/>
          <w:szCs w:val="18"/>
          <w:color w:val="auto"/>
        </w:rPr>
        <w:t xml:space="preserve"> </w:t>
        <w:tab/>
        <w:t>$OO&amp;RPSDQ\HPDLOVDUHSURWHFWHGE\DFORXG</w:t>
      </w:r>
      <w:r>
        <w:rPr>
          <w:rFonts w:ascii="Times New Roman" w:cs="Times New Roman" w:eastAsia="Times New Roman" w:hAnsi="Times New Roman"/>
          <w:sz w:val="18"/>
          <w:szCs w:val="18"/>
          <w:color w:val="auto"/>
        </w:rPr>
        <w:t>based email filtering service designed to protect the Company</w:t>
      </w:r>
    </w:p>
    <w:p>
      <w:pPr>
        <w:spacing w:after="0" w:line="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against advanced threats related to email and collaboration tools.</w:t>
      </w:r>
    </w:p>
    <w:p>
      <w:pPr>
        <w:ind w:left="300"/>
        <w:spacing w:after="0"/>
        <w:tabs>
          <w:tab w:leader="none" w:pos="700" w:val="left"/>
        </w:tabs>
        <w:rPr>
          <w:sz w:val="20"/>
          <w:szCs w:val="20"/>
          <w:color w:val="auto"/>
        </w:rPr>
      </w:pPr>
      <w:r>
        <w:rPr>
          <w:rFonts w:ascii="PMingLiU" w:cs="PMingLiU" w:eastAsia="PMingLiU" w:hAnsi="PMingLiU"/>
          <w:sz w:val="15"/>
          <w:szCs w:val="15"/>
          <w:color w:val="auto"/>
        </w:rPr>
        <w:t xml:space="preserve"> </w:t>
      </w:r>
      <w:r>
        <w:rPr>
          <w:sz w:val="20"/>
          <w:szCs w:val="20"/>
          <w:color w:val="auto"/>
        </w:rPr>
        <w:tab/>
      </w:r>
      <w:r>
        <w:rPr>
          <w:rFonts w:ascii="PMingLiU" w:cs="PMingLiU" w:eastAsia="PMingLiU" w:hAnsi="PMingLiU"/>
          <w:sz w:val="15"/>
          <w:szCs w:val="15"/>
          <w:color w:val="auto"/>
        </w:rPr>
        <w:t>3HULRGLFDOO\ DOO XVHUV RQ WKH &amp;RPSDQ\¶V FRPSXWHU QHWZRUN DUH UHTXLUHG WR SHUIRUP PXOWL</w:t>
      </w:r>
      <w:r>
        <w:rPr>
          <w:rFonts w:ascii="Times New Roman" w:cs="Times New Roman" w:eastAsia="Times New Roman" w:hAnsi="Times New Roman"/>
          <w:sz w:val="15"/>
          <w:szCs w:val="15"/>
          <w:color w:val="auto"/>
        </w:rPr>
        <w:t>factor</w:t>
      </w:r>
    </w:p>
    <w:p>
      <w:pPr>
        <w:spacing w:after="0" w:line="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authentication.</w:t>
      </w:r>
    </w:p>
    <w:p>
      <w:pPr>
        <w:ind w:left="300"/>
        <w:spacing w:after="0" w:line="237" w:lineRule="auto"/>
        <w:tabs>
          <w:tab w:leader="none" w:pos="700" w:val="left"/>
        </w:tabs>
        <w:rPr>
          <w:sz w:val="20"/>
          <w:szCs w:val="20"/>
          <w:color w:val="auto"/>
        </w:rPr>
      </w:pPr>
      <w:r>
        <w:rPr>
          <w:rFonts w:ascii="PMingLiU" w:cs="PMingLiU" w:eastAsia="PMingLiU" w:hAnsi="PMingLiU"/>
          <w:sz w:val="19"/>
          <w:szCs w:val="19"/>
          <w:color w:val="auto"/>
        </w:rPr>
        <w:t xml:space="preserve"> </w:t>
        <w:tab/>
        <w:t>7KH&amp;RPSDQ\XVHVDFORXG</w:t>
      </w:r>
      <w:r>
        <w:rPr>
          <w:rFonts w:ascii="Times New Roman" w:cs="Times New Roman" w:eastAsia="Times New Roman" w:hAnsi="Times New Roman"/>
          <w:sz w:val="19"/>
          <w:szCs w:val="19"/>
          <w:color w:val="auto"/>
        </w:rPr>
        <w:t>based identity and access management service that enables access to external</w:t>
      </w:r>
    </w:p>
    <w:p>
      <w:pPr>
        <w:ind w:left="720"/>
        <w:spacing w:after="0"/>
        <w:rPr>
          <w:sz w:val="20"/>
          <w:szCs w:val="20"/>
          <w:color w:val="auto"/>
        </w:rPr>
      </w:pPr>
      <w:r>
        <w:rPr>
          <w:rFonts w:ascii="Times New Roman" w:cs="Times New Roman" w:eastAsia="Times New Roman" w:hAnsi="Times New Roman"/>
          <w:sz w:val="20"/>
          <w:szCs w:val="20"/>
          <w:color w:val="auto"/>
        </w:rPr>
        <w:t>resources.</w:t>
      </w:r>
    </w:p>
    <w:p>
      <w:pPr>
        <w:ind w:left="300"/>
        <w:spacing w:after="0" w:line="231"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Backup is performed using a secure, automatic cloud-based backup and restore service.</w:t>
      </w:r>
    </w:p>
    <w:p>
      <w:pPr>
        <w:spacing w:after="0" w:line="1" w:lineRule="exact"/>
        <w:rPr>
          <w:sz w:val="20"/>
          <w:szCs w:val="20"/>
          <w:color w:val="auto"/>
        </w:rPr>
      </w:pPr>
    </w:p>
    <w:p>
      <w:pPr>
        <w:ind w:left="720" w:hanging="419"/>
        <w:spacing w:after="0" w:line="237" w:lineRule="auto"/>
        <w:tabs>
          <w:tab w:leader="none" w:pos="700" w:val="left"/>
        </w:tabs>
        <w:rPr>
          <w:sz w:val="20"/>
          <w:szCs w:val="20"/>
          <w:color w:val="auto"/>
        </w:rPr>
      </w:pPr>
      <w:r>
        <w:rPr>
          <w:rFonts w:ascii="PMingLiU" w:cs="PMingLiU" w:eastAsia="PMingLiU" w:hAnsi="PMingLiU"/>
          <w:sz w:val="20"/>
          <w:szCs w:val="20"/>
          <w:color w:val="auto"/>
        </w:rPr>
        <w:t xml:space="preserve"> </w:t>
      </w:r>
      <w:r>
        <w:rPr>
          <w:sz w:val="20"/>
          <w:szCs w:val="20"/>
          <w:color w:val="auto"/>
        </w:rPr>
        <w:tab/>
      </w:r>
      <w:r>
        <w:rPr>
          <w:rFonts w:ascii="Times New Roman" w:cs="Times New Roman" w:eastAsia="Times New Roman" w:hAnsi="Times New Roman"/>
          <w:sz w:val="20"/>
          <w:szCs w:val="20"/>
          <w:color w:val="auto"/>
        </w:rPr>
        <w:t>From time to time, the Company considers and evaluates, and adopts if appropriate, additional cyber security procedures and tools.</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Additionally, we believe that our third-party vendors and service providers have their own respective cybersecurity protocols which our management believes to be adequate for protecting any of the Company’s data that might be in their possession from time to time; however, having such protocols is not necessarily a condition for us using or not using the services of any such vendors or providers.</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IT service provider assesses and manages cybersecurity risks on our behalf, who provides updates and proposals as appropriate, and who reports to our Chief Technology Officer and General Manager, who does not have specific cybersecurity expertise. The Company has an Information Technology Policy that, among other things, governs and provides for cybersecurity policies and processes, including to define safety measures to protect the Company’s</w:t>
      </w:r>
    </w:p>
    <w:p>
      <w:pPr>
        <w:sectPr>
          <w:pgSz w:w="12240" w:h="15840" w:orient="portrait"/>
          <w:cols w:equalWidth="0" w:num="1">
            <w:col w:w="9360"/>
          </w:cols>
          <w:pgMar w:left="1440" w:top="1412" w:right="1440" w:bottom="45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1412" w:right="1440" w:bottom="450" w:gutter="0" w:footer="0" w:header="0"/>
          <w:type w:val="continuous"/>
        </w:sectPr>
      </w:pPr>
    </w:p>
    <w:bookmarkStart w:id="37" w:name="page38"/>
    <w:bookmarkEnd w:id="37"/>
    <w:p>
      <w:pPr>
        <w:jc w:val="both"/>
        <w:spacing w:after="0" w:line="252" w:lineRule="auto"/>
        <w:rPr>
          <w:sz w:val="20"/>
          <w:szCs w:val="20"/>
          <w:color w:val="auto"/>
        </w:rPr>
      </w:pPr>
      <w:r>
        <w:rPr>
          <w:rFonts w:ascii="Times New Roman" w:cs="Times New Roman" w:eastAsia="Times New Roman" w:hAnsi="Times New Roman"/>
          <w:sz w:val="20"/>
          <w:szCs w:val="20"/>
          <w:color w:val="auto"/>
        </w:rPr>
        <w:t>confidentiality, integrity and availability of data and other intellectual property, as well as to define the manner in which information is stored, saved and routed in the Company’s network. Additionally, the Board and management believe cybersecurity represents an important component of the Company’s overall approach to risk management and oversight, especially as the Company has commenced commercialization of its first product.</w:t>
      </w:r>
    </w:p>
    <w:p>
      <w:pPr>
        <w:spacing w:after="0" w:line="18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Historically, cybersecurity threats have not materially affected the Company, including its business strategy, results of operations or financial condition, while it was focused on pursuing FDA approval and had pre-commercial operations. The Company is not aware of any material security breach to date. Accordingly, the Company has not incurred any material expenses over the last two years relating to information security breaches. The Company is considering how its evolving business operations could result in a greater risk of a cybersecurity incident, and potential responses and actions to take as a result. The occurrence of cyber- incidents, or a deficiency in our cybersecurity or in those of any of our third-party service providers could negatively impact our business by causing a disruption to our operations, a compromise or corruption of our confidential information and systems, or damage to our business relationships or reputation, all of which could negatively impact our business and results of operations. There can be no assurance that the Company’s third-party vendors’ and service providers’ cybersecurity risk management processes, including their policies, controls or procedures, will be fully implemented, complied with or effective in protecting the Company’s systems and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2. </w:t>
      </w:r>
      <w:r>
        <w:rPr>
          <w:rFonts w:ascii="Times New Roman" w:cs="Times New Roman" w:eastAsia="Times New Roman" w:hAnsi="Times New Roman"/>
          <w:sz w:val="20"/>
          <w:szCs w:val="20"/>
          <w:b w:val="1"/>
          <w:bCs w:val="1"/>
          <w:u w:val="single" w:color="auto"/>
          <w:color w:val="auto"/>
        </w:rPr>
        <w:t>Description of Property</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Microbot’s U.S.- based employees currently either work remotely or at leased premises in the suburbs of Boston, Massachusetts of approximately 300 square feet. Microbot also occupies facilities in premises of approximately 6,975 square feet at 6 Hayozma St., Yokneam, P.O.B. 242, Israel. These facilities are expected to provide the space and infrastructure necessary to accommodate its commercial and business development work based on its current operating plan. Microbot does not own any real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3. </w:t>
      </w:r>
      <w:r>
        <w:rPr>
          <w:rFonts w:ascii="Times New Roman" w:cs="Times New Roman" w:eastAsia="Times New Roman" w:hAnsi="Times New Roman"/>
          <w:sz w:val="20"/>
          <w:szCs w:val="20"/>
          <w:b w:val="1"/>
          <w:bCs w:val="1"/>
          <w:u w:val="single" w:color="auto"/>
          <w:color w:val="auto"/>
        </w:rPr>
        <w:t>Legal Proceedings</w:t>
      </w:r>
      <w:r>
        <w:rPr>
          <w:rFonts w:ascii="Times New Roman" w:cs="Times New Roman" w:eastAsia="Times New Roman" w:hAnsi="Times New Roman"/>
          <w:sz w:val="20"/>
          <w:szCs w:val="20"/>
          <w:b w:val="1"/>
          <w:bCs w:val="1"/>
          <w:color w:val="auto"/>
        </w:rPr>
        <w:t>.</w:t>
      </w:r>
    </w:p>
    <w:p>
      <w:pPr>
        <w:spacing w:after="0" w:line="2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June 17, 2025, the Company received a demand letter from legal counsel representing a former employee in connection with an employment-related matter. On December 3, 2025, the Company received a charge filed by the former employee with the Massachusetts Commission Against Discrimination and Equal Employment Opportunity Commission, alleging discrimination and retaliation. On January 16, 2026, the Company filed a position statement responding to same and challenging the merits of the charge in total. Based on its initial assessment, the Company believes the allegations lack merit and intends to defend against them.</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4. </w:t>
      </w:r>
      <w:r>
        <w:rPr>
          <w:rFonts w:ascii="Times New Roman" w:cs="Times New Roman" w:eastAsia="Times New Roman" w:hAnsi="Times New Roman"/>
          <w:sz w:val="20"/>
          <w:szCs w:val="20"/>
          <w:b w:val="1"/>
          <w:bCs w:val="1"/>
          <w:u w:val="single" w:color="auto"/>
          <w:color w:val="auto"/>
        </w:rPr>
        <w:t>Mine Safety Disclosures</w:t>
      </w:r>
      <w:r>
        <w:rPr>
          <w:rFonts w:ascii="Times New Roman" w:cs="Times New Roman" w:eastAsia="Times New Roman" w:hAnsi="Times New Roman"/>
          <w:sz w:val="20"/>
          <w:szCs w:val="20"/>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color w:val="auto"/>
        </w:rPr>
        <w:t xml:space="preserve">Item 5. </w:t>
      </w:r>
      <w:r>
        <w:rPr>
          <w:rFonts w:ascii="Times New Roman" w:cs="Times New Roman" w:eastAsia="Times New Roman" w:hAnsi="Times New Roman"/>
          <w:sz w:val="20"/>
          <w:szCs w:val="20"/>
          <w:b w:val="1"/>
          <w:bCs w:val="1"/>
          <w:u w:val="single" w:color="auto"/>
          <w:color w:val="auto"/>
        </w:rPr>
        <w:t>Market for Registrant’s Common Equity, Related Stockholder Matters and Issuer Purchases of Equity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listed on the NASDAQ Capital Market under the symbol “MBOT” since November 29, 2016.</w:t>
      </w:r>
    </w:p>
    <w:p>
      <w:pPr>
        <w:spacing w:after="0" w:line="23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As of March 24, 2026, there were approximately 118 holders of record of our common stock, and the closing price of our common stock as reported on the NASDAQ Capital Market was $2.50.</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1421" w:right="1440" w:bottom="45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 Table</w:t>
      </w:r>
    </w:p>
    <w:p>
      <w:pPr>
        <w:spacing w:after="0" w:line="23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table provides information about shares of our common stock that may be issued upon the exercise of options under all of our existing compensation plans as of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0" w:type="dxa"/>
            <w:vAlign w:val="bottom"/>
          </w:tcPr>
          <w:p>
            <w:pPr>
              <w:spacing w:after="0"/>
              <w:rPr>
                <w:sz w:val="1"/>
                <w:szCs w:val="1"/>
                <w:color w:val="auto"/>
              </w:rPr>
            </w:pPr>
          </w:p>
        </w:tc>
      </w:tr>
      <w:tr>
        <w:trPr>
          <w:trHeight w:val="228"/>
        </w:trPr>
        <w:tc>
          <w:tcPr>
            <w:tcW w:w="4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2"/>
          </w:tcPr>
          <w:p>
            <w:pPr>
              <w:jc w:val="center"/>
              <w:ind w:right="160"/>
              <w:spacing w:after="0" w:line="229" w:lineRule="exact"/>
              <w:rPr>
                <w:sz w:val="20"/>
                <w:szCs w:val="20"/>
                <w:color w:val="auto"/>
              </w:rPr>
            </w:pPr>
            <w:r>
              <w:rPr>
                <w:rFonts w:ascii="Times New Roman" w:cs="Times New Roman" w:eastAsia="Times New Roman" w:hAnsi="Times New Roman"/>
                <w:sz w:val="20"/>
                <w:szCs w:val="20"/>
                <w:b w:val="1"/>
                <w:bCs w:val="1"/>
                <w:color w:val="auto"/>
              </w:rPr>
              <w:t>securities to be</w:t>
            </w: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issued upon</w:t>
            </w:r>
          </w:p>
        </w:tc>
        <w:tc>
          <w:tcPr>
            <w:tcW w:w="1900" w:type="dxa"/>
            <w:vAlign w:val="bottom"/>
            <w:gridSpan w:val="4"/>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Weighted-average</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securities</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exercise of</w:t>
            </w:r>
          </w:p>
        </w:tc>
        <w:tc>
          <w:tcPr>
            <w:tcW w:w="1900" w:type="dxa"/>
            <w:vAlign w:val="bottom"/>
            <w:gridSpan w:val="4"/>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exercise price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8"/>
              </w:rPr>
              <w:t>outstanding</w:t>
            </w:r>
          </w:p>
        </w:tc>
        <w:tc>
          <w:tcPr>
            <w:tcW w:w="1900" w:type="dxa"/>
            <w:vAlign w:val="bottom"/>
            <w:gridSpan w:val="4"/>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available for</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options, warrants</w:t>
            </w:r>
          </w:p>
        </w:tc>
        <w:tc>
          <w:tcPr>
            <w:tcW w:w="1900" w:type="dxa"/>
            <w:vAlign w:val="bottom"/>
            <w:gridSpan w:val="4"/>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options, warrants</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future</w:t>
            </w:r>
          </w:p>
        </w:tc>
        <w:tc>
          <w:tcPr>
            <w:tcW w:w="0" w:type="dxa"/>
            <w:vAlign w:val="bottom"/>
          </w:tcPr>
          <w:p>
            <w:pPr>
              <w:spacing w:after="0"/>
              <w:rPr>
                <w:sz w:val="1"/>
                <w:szCs w:val="1"/>
                <w:color w:val="auto"/>
              </w:rPr>
            </w:pPr>
          </w:p>
        </w:tc>
      </w:tr>
      <w:tr>
        <w:trPr>
          <w:trHeight w:val="253"/>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Plan Category</w:t>
            </w: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and rights</w:t>
            </w:r>
          </w:p>
        </w:tc>
        <w:tc>
          <w:tcPr>
            <w:tcW w:w="1900" w:type="dxa"/>
            <w:vAlign w:val="bottom"/>
            <w:gridSpan w:val="4"/>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8"/>
              </w:rPr>
              <w:t>and rights</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issuance</w:t>
            </w:r>
          </w:p>
        </w:tc>
        <w:tc>
          <w:tcPr>
            <w:tcW w:w="0" w:type="dxa"/>
            <w:vAlign w:val="bottom"/>
          </w:tcPr>
          <w:p>
            <w:pPr>
              <w:spacing w:after="0"/>
              <w:rPr>
                <w:sz w:val="1"/>
                <w:szCs w:val="1"/>
                <w:color w:val="auto"/>
              </w:rPr>
            </w:pPr>
          </w:p>
        </w:tc>
      </w:tr>
      <w:tr>
        <w:trPr>
          <w:trHeight w:val="211"/>
        </w:trPr>
        <w:tc>
          <w:tcPr>
            <w:tcW w:w="4440" w:type="dxa"/>
            <w:vAlign w:val="bottom"/>
            <w:gridSpan w:val="2"/>
            <w:vMerge w:val="continue"/>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4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Equity compensation plans approved by security</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holders:</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2017 Equity Incentive Plan</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467,133</w:t>
            </w:r>
          </w:p>
        </w:tc>
        <w:tc>
          <w:tcPr>
            <w:tcW w:w="8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10.72</w:t>
            </w:r>
          </w:p>
        </w:tc>
        <w:tc>
          <w:tcPr>
            <w:tcW w:w="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156,585</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2020 Omnibus Performance Award Plan, as</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amended</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2,624,123</w:t>
            </w:r>
          </w:p>
        </w:tc>
        <w:tc>
          <w:tcPr>
            <w:tcW w:w="8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3.03</w:t>
            </w:r>
          </w:p>
        </w:tc>
        <w:tc>
          <w:tcPr>
            <w:tcW w:w="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2,587,548</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Equity compensation plans not approved by security</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4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holders: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4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Microbot Israel Employee Stock Option Plan(1)</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14,359</w:t>
            </w:r>
          </w:p>
        </w:tc>
        <w:tc>
          <w:tcPr>
            <w:tcW w:w="8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0.01</w:t>
            </w:r>
          </w:p>
        </w:tc>
        <w:tc>
          <w:tcPr>
            <w:tcW w:w="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7"/>
        </w:trPr>
        <w:tc>
          <w:tcPr>
            <w:tcW w:w="44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3,105,615</w:t>
            </w:r>
          </w:p>
        </w:tc>
        <w:tc>
          <w:tcPr>
            <w:tcW w:w="16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2,744,133</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__________</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spacing w:after="0" w:line="248" w:lineRule="auto"/>
        <w:tabs>
          <w:tab w:leader="none" w:pos="28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6. </w:t>
      </w:r>
      <w:r>
        <w:rPr>
          <w:rFonts w:ascii="Times New Roman" w:cs="Times New Roman" w:eastAsia="Times New Roman" w:hAnsi="Times New Roman"/>
          <w:sz w:val="20"/>
          <w:szCs w:val="20"/>
          <w:b w:val="1"/>
          <w:bCs w:val="1"/>
          <w:u w:val="single" w:color="auto"/>
          <w:color w:val="auto"/>
        </w:rPr>
        <w:t>[Reserved]</w:t>
      </w:r>
    </w:p>
    <w:p>
      <w:pPr>
        <w:spacing w:after="0" w:line="231" w:lineRule="exact"/>
        <w:rPr>
          <w:sz w:val="20"/>
          <w:szCs w:val="20"/>
          <w:color w:val="auto"/>
        </w:rPr>
      </w:pPr>
    </w:p>
    <w:p>
      <w:pPr>
        <w:ind w:right="1060"/>
        <w:spacing w:after="0" w:line="366" w:lineRule="auto"/>
        <w:rPr>
          <w:sz w:val="20"/>
          <w:szCs w:val="20"/>
          <w:color w:val="auto"/>
        </w:rPr>
      </w:pPr>
      <w:r>
        <w:rPr>
          <w:rFonts w:ascii="Times New Roman" w:cs="Times New Roman" w:eastAsia="Times New Roman" w:hAnsi="Times New Roman"/>
          <w:sz w:val="20"/>
          <w:szCs w:val="20"/>
          <w:b w:val="1"/>
          <w:bCs w:val="1"/>
          <w:color w:val="auto"/>
        </w:rPr>
        <w:t xml:space="preserve">Item 7. </w:t>
      </w:r>
      <w:r>
        <w:rPr>
          <w:rFonts w:ascii="Times New Roman" w:cs="Times New Roman" w:eastAsia="Times New Roman" w:hAnsi="Times New Roman"/>
          <w:sz w:val="20"/>
          <w:szCs w:val="20"/>
          <w:b w:val="1"/>
          <w:bCs w:val="1"/>
          <w:u w:val="single" w:color="auto"/>
          <w:color w:val="auto"/>
        </w:rPr>
        <w:t>Management’s Discussion and Analysis of Financial Condition and Results of Operations.</w:t>
      </w:r>
      <w:r>
        <w:rPr>
          <w:rFonts w:ascii="Times New Roman" w:cs="Times New Roman" w:eastAsia="Times New Roman" w:hAnsi="Times New Roman"/>
          <w:sz w:val="20"/>
          <w:szCs w:val="20"/>
          <w:b w:val="1"/>
          <w:bCs w:val="1"/>
          <w:color w:val="auto"/>
        </w:rPr>
        <w:t xml:space="preserve"> Forward-Looking Statements</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of this Annual Report on Form 10-K entitled “Risk Factors” as well as elsewhere in this Annual Report.</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ectPr>
          <w:pgSz w:w="12240" w:h="15840" w:orient="portrait"/>
          <w:cols w:equalWidth="0" w:num="1">
            <w:col w:w="9360"/>
          </w:cols>
          <w:pgMar w:left="1440" w:top="1417" w:right="1440" w:bottom="45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1417" w:right="1440" w:bottom="450" w:gutter="0" w:footer="0" w:header="0"/>
          <w:type w:val="continuous"/>
        </w:sectPr>
      </w:pPr>
    </w:p>
    <w:bookmarkStart w:id="39" w:name="page40"/>
    <w:bookmarkEnd w:id="39"/>
    <w:p>
      <w:pPr>
        <w:jc w:val="both"/>
        <w:spacing w:after="0" w:line="247" w:lineRule="auto"/>
        <w:rPr>
          <w:sz w:val="20"/>
          <w:szCs w:val="20"/>
          <w:color w:val="auto"/>
        </w:rPr>
      </w:pPr>
      <w:r>
        <w:rPr>
          <w:rFonts w:ascii="Times New Roman" w:cs="Times New Roman" w:eastAsia="Times New Roman" w:hAnsi="Times New Roman"/>
          <w:sz w:val="20"/>
          <w:szCs w:val="20"/>
          <w:color w:val="auto"/>
        </w:rPr>
        <w:t>In light of these risks and uncertainties, and especially given the nature of our existing and proposed business, there can be no assurance that the forward -looking statements contained in this section and elsewhere in this Annual Report on Form 10-K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Microbot is a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6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Using our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technological platform, we have developed the first-ever fully disposable robot for various endovascular interventional procedures.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on the peripheral vasculature market. It is designed to eliminate the need for extensive capital equipment requiring dedicated Cath-lab rooms as well as dedicated staff.</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Operations Overview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 net</w:t>
      </w:r>
    </w:p>
    <w:p>
      <w:pPr>
        <w:spacing w:after="0" w:line="1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Research and development expenses consist primarily of salaries, benefits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General and Administrative Expenses</w:t>
      </w:r>
    </w:p>
    <w:p>
      <w:pPr>
        <w:spacing w:after="0" w:line="2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Sales, general and administrative expenses consist primarily of the costs associated with salaries, benefits and related expenses, sales and marketing activities, business development expenses, professional fees for accounting, auditing, consulting, legal services, and insurance expenses.</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Microbot expects that its sales, general and administrative expenses will increase over the long-term, as it expands its operating and commercialization activities, maintains compliance with exchange listing and SEC requirements. Microbot expects these potential increases will likely include management costs, the costs of building out marketing and sales teams for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product, legal fees, accounting fees, insurance premiums and expenses associated with investor relations.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Microbot has incurred net losses and has not recorded any income tax benefits for the losses, it is more likely than not that sufficient taxable income will not be available for the tax losses to be fully utilized in the future.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23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Inventories are stated at the lower of actual cost, determined using the first-in, first-out method, or net realizable value (“NRV”).</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Inventories primarily consist of raw materials ordered by us or in advance by our third-party contract manufacturer. Work in process and finished goods are produced by our third-party contract manufacturer and include direct labor and allocable overhead.</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1421" w:right="1440" w:bottom="450" w:gutter="0" w:footer="0" w:header="0"/>
          <w:type w:val="continuous"/>
        </w:sectPr>
      </w:pPr>
    </w:p>
    <w:bookmarkStart w:id="40" w:name="page41"/>
    <w:bookmarkEnd w:id="40"/>
    <w:p>
      <w:pPr>
        <w:jc w:val="both"/>
        <w:spacing w:after="0" w:line="257" w:lineRule="auto"/>
        <w:rPr>
          <w:sz w:val="20"/>
          <w:szCs w:val="20"/>
          <w:color w:val="auto"/>
        </w:rPr>
      </w:pPr>
      <w:r>
        <w:rPr>
          <w:rFonts w:ascii="Times New Roman" w:cs="Times New Roman" w:eastAsia="Times New Roman" w:hAnsi="Times New Roman"/>
          <w:sz w:val="20"/>
          <w:szCs w:val="20"/>
          <w:color w:val="auto"/>
        </w:rPr>
        <w:t>We routinely evaluate the quantity and value of our inventories in light of current market conditions, and based on expiration of sterilization dates or defective inventory, and record write-downs when NRV is below cost. As of December 31, 2025, no reserve for excess or obsolete inventory was recognized.</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began ramping up inventory manufacturing for units intended for sale after receiving FDA clearance on September 4,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Management records and discloses legal contingencies in accordance with Accounting Standards Codification (“ASC”) Topic 450 </w:t>
      </w:r>
      <w:r>
        <w:rPr>
          <w:rFonts w:ascii="Times New Roman" w:cs="Times New Roman" w:eastAsia="Times New Roman" w:hAnsi="Times New Roman"/>
          <w:sz w:val="20"/>
          <w:szCs w:val="20"/>
          <w:i w:val="1"/>
          <w:iCs w:val="1"/>
          <w:color w:val="auto"/>
        </w:rPr>
        <w:t>Contingencies</w:t>
      </w:r>
      <w:r>
        <w:rPr>
          <w:rFonts w:ascii="Times New Roman" w:cs="Times New Roman" w:eastAsia="Times New Roman" w:hAnsi="Times New Roman"/>
          <w:sz w:val="20"/>
          <w:szCs w:val="20"/>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Stock Warrants</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accounts for warrants issued to investors as either equity-classified or liability -classified instruments, based on an assessment of the warrant’s specific terms and the applicable authoritative guidance in Financial Accounting Standards Board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measures the fair value of certain of its financial instruments on a recurring basis.</w:t>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1 - Quoted prices (unadjusted) in active markets for identical assets and liabilities.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1421" w:right="1440" w:bottom="450" w:gutter="0" w:footer="0" w:header="0"/>
          <w:type w:val="continuous"/>
        </w:sectPr>
      </w:pPr>
    </w:p>
    <w:bookmarkStart w:id="41" w:name="page42"/>
    <w:bookmarkEnd w:id="41"/>
    <w:p>
      <w:pPr>
        <w:jc w:val="both"/>
        <w:spacing w:after="0" w:line="277" w:lineRule="auto"/>
        <w:rPr>
          <w:sz w:val="20"/>
          <w:szCs w:val="20"/>
          <w:color w:val="auto"/>
        </w:rPr>
      </w:pPr>
      <w:r>
        <w:rPr>
          <w:rFonts w:ascii="Times New Roman" w:cs="Times New Roman" w:eastAsia="Times New Roman" w:hAnsi="Times New Roman"/>
          <w:sz w:val="20"/>
          <w:szCs w:val="20"/>
          <w:color w:val="auto"/>
        </w:rPr>
        <w:t>Level 3 - Unobservable inputs that are supported by little or no market activity and that are significant to the fair value of the assets or liabilities.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Years Ended December 31, 2025 and 2024</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table sets forth the key components of Microbot’s results of operations for the years ended December 31, 2025 and 2024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6"/>
          </w:tcPr>
          <w:p>
            <w:pPr>
              <w:jc w:val="right"/>
              <w:ind w:right="10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00" w:type="dxa"/>
            <w:vAlign w:val="bottom"/>
          </w:tcPr>
          <w:p>
            <w:pPr>
              <w:spacing w:after="0"/>
              <w:rPr>
                <w:sz w:val="21"/>
                <w:szCs w:val="21"/>
                <w:color w:val="auto"/>
              </w:rPr>
            </w:pPr>
          </w:p>
        </w:tc>
        <w:tc>
          <w:tcPr>
            <w:tcW w:w="11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30"/>
        </w:trPr>
        <w:tc>
          <w:tcPr>
            <w:tcW w:w="4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Research and development expenses, net</w:t>
            </w:r>
          </w:p>
        </w:tc>
        <w:tc>
          <w:tcPr>
            <w:tcW w:w="8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Borders>
              <w:top w:val="single" w:sz="8" w:color="auto"/>
            </w:tcBorders>
          </w:tcPr>
          <w:p>
            <w:pPr>
              <w:jc w:val="right"/>
              <w:ind w:right="60"/>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tcBorders>
          </w:tcPr>
          <w:p>
            <w:pPr>
              <w:jc w:val="right"/>
              <w:spacing w:after="0" w:line="211" w:lineRule="exact"/>
              <w:rPr>
                <w:sz w:val="20"/>
                <w:szCs w:val="20"/>
                <w:color w:val="auto"/>
              </w:rPr>
            </w:pPr>
            <w:r>
              <w:rPr>
                <w:rFonts w:ascii="Times New Roman" w:cs="Times New Roman" w:eastAsia="Times New Roman" w:hAnsi="Times New Roman"/>
                <w:sz w:val="20"/>
                <w:szCs w:val="20"/>
                <w:color w:val="auto"/>
              </w:rPr>
              <w:t>(6,283)</w:t>
            </w:r>
          </w:p>
        </w:tc>
        <w:tc>
          <w:tcPr>
            <w:tcW w:w="260" w:type="dxa"/>
            <w:vAlign w:val="bottom"/>
          </w:tcPr>
          <w:p>
            <w:pPr>
              <w:spacing w:after="0"/>
              <w:rPr>
                <w:sz w:val="18"/>
                <w:szCs w:val="18"/>
                <w:color w:val="auto"/>
              </w:rPr>
            </w:pPr>
          </w:p>
        </w:tc>
        <w:tc>
          <w:tcPr>
            <w:tcW w:w="260" w:type="dxa"/>
            <w:vAlign w:val="bottom"/>
            <w:tcBorders>
              <w:top w:val="single" w:sz="8" w:color="auto"/>
            </w:tcBorders>
          </w:tcPr>
          <w:p>
            <w:pPr>
              <w:jc w:val="right"/>
              <w:ind w:right="60"/>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spacing w:after="0" w:line="211" w:lineRule="exact"/>
              <w:rPr>
                <w:sz w:val="20"/>
                <w:szCs w:val="20"/>
                <w:color w:val="auto"/>
              </w:rPr>
            </w:pPr>
            <w:r>
              <w:rPr>
                <w:rFonts w:ascii="Times New Roman" w:cs="Times New Roman" w:eastAsia="Times New Roman" w:hAnsi="Times New Roman"/>
                <w:sz w:val="20"/>
                <w:szCs w:val="20"/>
                <w:color w:val="auto"/>
              </w:rPr>
              <w:t>(6,630)</w:t>
            </w:r>
          </w:p>
        </w:tc>
        <w:tc>
          <w:tcPr>
            <w:tcW w:w="280" w:type="dxa"/>
            <w:vAlign w:val="bottom"/>
            <w:gridSpan w:val="2"/>
          </w:tcPr>
          <w:p>
            <w:pPr>
              <w:spacing w:after="0"/>
              <w:rPr>
                <w:sz w:val="18"/>
                <w:szCs w:val="18"/>
                <w:color w:val="auto"/>
              </w:rPr>
            </w:pPr>
          </w:p>
        </w:tc>
        <w:tc>
          <w:tcPr>
            <w:tcW w:w="200" w:type="dxa"/>
            <w:vAlign w:val="bottom"/>
            <w:tcBorders>
              <w:top w:val="single" w:sz="8" w:color="auto"/>
            </w:tcBorders>
          </w:tcPr>
          <w:p>
            <w:pPr>
              <w:jc w:val="right"/>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tcBorders>
          </w:tcPr>
          <w:p>
            <w:pPr>
              <w:jc w:val="right"/>
              <w:spacing w:after="0" w:line="211" w:lineRule="exact"/>
              <w:rPr>
                <w:sz w:val="20"/>
                <w:szCs w:val="20"/>
                <w:color w:val="auto"/>
              </w:rPr>
            </w:pPr>
            <w:r>
              <w:rPr>
                <w:rFonts w:ascii="Times New Roman" w:cs="Times New Roman" w:eastAsia="Times New Roman" w:hAnsi="Times New Roman"/>
                <w:sz w:val="20"/>
                <w:szCs w:val="20"/>
                <w:color w:val="auto"/>
              </w:rPr>
              <w:t>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Sales, general and administrative expenses</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(8,460)</w:t>
            </w:r>
          </w:p>
        </w:tc>
        <w:tc>
          <w:tcPr>
            <w:tcW w:w="260" w:type="dxa"/>
            <w:vAlign w:val="bottom"/>
          </w:tcPr>
          <w:p>
            <w:pPr>
              <w:spacing w:after="0"/>
              <w:rPr>
                <w:sz w:val="20"/>
                <w:szCs w:val="20"/>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(4,995)</w:t>
            </w: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(3,465)</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Financing income, net</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1,285</w:t>
            </w:r>
          </w:p>
        </w:tc>
        <w:tc>
          <w:tcPr>
            <w:tcW w:w="260" w:type="dxa"/>
            <w:vAlign w:val="bottom"/>
          </w:tcPr>
          <w:p>
            <w:pPr>
              <w:spacing w:after="0"/>
              <w:rPr>
                <w:sz w:val="20"/>
                <w:szCs w:val="20"/>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182</w:t>
            </w:r>
          </w:p>
        </w:tc>
        <w:tc>
          <w:tcPr>
            <w:tcW w:w="2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1,103</w:t>
            </w:r>
          </w:p>
        </w:tc>
        <w:tc>
          <w:tcPr>
            <w:tcW w:w="0" w:type="dxa"/>
            <w:vAlign w:val="bottom"/>
          </w:tcPr>
          <w:p>
            <w:pPr>
              <w:spacing w:after="0"/>
              <w:rPr>
                <w:sz w:val="1"/>
                <w:szCs w:val="1"/>
                <w:color w:val="auto"/>
              </w:rPr>
            </w:pPr>
          </w:p>
        </w:tc>
      </w:tr>
      <w:tr>
        <w:trPr>
          <w:trHeight w:val="265"/>
        </w:trPr>
        <w:tc>
          <w:tcPr>
            <w:tcW w:w="42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w:t>
            </w: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316</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316</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Research and Development Expenses, net</w:t>
      </w:r>
      <w:r>
        <w:rPr>
          <w:rFonts w:ascii="Times New Roman" w:cs="Times New Roman" w:eastAsia="Times New Roman" w:hAnsi="Times New Roman"/>
          <w:sz w:val="20"/>
          <w:szCs w:val="20"/>
          <w:color w:val="auto"/>
        </w:rPr>
        <w:t>. The decrease in research and development expenses of approximately $0.3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in 2025 as compared to 2024 was primarily due to increases in government grants recognized as contra research and development expenses in 2025 and a decrease in professional services in 2025 due to a material, non-recurring clinical study conducted in 2024. This decrease was partially offset by an increase in payroll and related expenses due to new hires, salary increases and bonuses above 2024 levels.</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Sales, General and Administrative Expenses</w:t>
      </w:r>
      <w:r>
        <w:rPr>
          <w:rFonts w:ascii="Times New Roman" w:cs="Times New Roman" w:eastAsia="Times New Roman" w:hAnsi="Times New Roman"/>
          <w:sz w:val="20"/>
          <w:szCs w:val="20"/>
          <w:color w:val="auto"/>
        </w:rPr>
        <w:t>. The increase in sales, general and administrative expenses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approximately $3.5 million in 2025 as compared to 2024 was primarily due to an increase in sales and marketing payroll and related expenses mainly due to new hiring, commercialization activities, as well as increases in professional services, including legal, audit and recruitment fees, and higher travel and office rent expenses. This increase was partially offset by a decrease in stock-based compensation expenses.</w:t>
      </w:r>
    </w:p>
    <w:p>
      <w:pPr>
        <w:spacing w:after="0" w:line="1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auto"/>
        </w:rPr>
        <w:t>Financing Income, net</w:t>
      </w:r>
      <w:r>
        <w:rPr>
          <w:rFonts w:ascii="Times New Roman" w:cs="Times New Roman" w:eastAsia="Times New Roman" w:hAnsi="Times New Roman"/>
          <w:sz w:val="20"/>
          <w:szCs w:val="20"/>
          <w:color w:val="auto"/>
        </w:rPr>
        <w:t>. The increase in financing income in 2025 compared with 2024 was primarily driven by higher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 gains earned on marketable securities, following the investments of capital raised during 2025.</w:t>
      </w:r>
    </w:p>
    <w:p>
      <w:pPr>
        <w:spacing w:after="0" w:line="16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i w:val="1"/>
          <w:iCs w:val="1"/>
          <w:color w:val="auto"/>
        </w:rPr>
        <w:t xml:space="preserve">Other Income. </w:t>
      </w:r>
      <w:r>
        <w:rPr>
          <w:rFonts w:ascii="Times New Roman" w:cs="Times New Roman" w:eastAsia="Times New Roman" w:hAnsi="Times New Roman"/>
          <w:sz w:val="20"/>
          <w:szCs w:val="20"/>
          <w:color w:val="auto"/>
        </w:rPr>
        <w:t>The Company received a judgment in the amount of approximately $316,000, net of legal fees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Through December 31, 2025, Microbot has not recognized any revenues, and cannot make any assurances of generating significant revenues in the future. Microbot has incurred losses since inception and negative cash flows from operating activities for all periods presented. As of December 31, 2025, Microbot had a net working capital of approximately $76.4 million, consisting primarily of cash and cash equivalents and marketable securities. This compares to net working capital of approximately $3.4 million as of December 31, 2024. Microbot anticipates that it will continue to incur net losses for the foreseeable future as it continues to ramp up manufacturing and commercialization of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continues research and development efforts with respect to other uses for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other potential technologies and products, and continues to incur costs associated with being a public company.</w:t>
      </w:r>
    </w:p>
    <w:p>
      <w:pPr>
        <w:spacing w:after="0" w:line="1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 has funded its operations through the issuance of capital stock, grants from the Israeli Innovation Authority, and convertible debt. Since inception (November 2010) through December 31, 2025, Microbot has raised cash proceeds of approximately $168.3 million. Since inception (November 2010) through December 31, 2025, Microbot incurred a total cumulative loss of approximately $104.1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our fiscal year ended December 31, 2025, we raised the following amounts:</w:t>
      </w:r>
    </w:p>
    <w:p>
      <w:pPr>
        <w:spacing w:after="0" w:line="229" w:lineRule="exact"/>
        <w:rPr>
          <w:sz w:val="20"/>
          <w:szCs w:val="20"/>
          <w:color w:val="auto"/>
        </w:rPr>
      </w:pPr>
    </w:p>
    <w:p>
      <w:pPr>
        <w:ind w:left="720" w:hanging="419"/>
        <w:spacing w:after="0" w:line="277" w:lineRule="auto"/>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An aggregate of approximately $1.1 million in January 2025, before fees and expenses of $65,452, through our then-existing At-the-Market facility;</w:t>
      </w:r>
    </w:p>
    <w:p>
      <w:pPr>
        <w:sectPr>
          <w:pgSz w:w="12240" w:h="15840" w:orient="portrait"/>
          <w:cols w:equalWidth="0" w:num="1">
            <w:col w:w="9360"/>
          </w:cols>
          <w:pgMar w:left="1440" w:top="1421" w:right="1440" w:bottom="450"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1421" w:right="1440" w:bottom="450" w:gutter="0" w:footer="0" w:header="0"/>
          <w:type w:val="continuous"/>
        </w:sectPr>
      </w:pPr>
    </w:p>
    <w:bookmarkStart w:id="42" w:name="page43"/>
    <w:bookmarkEnd w:id="42"/>
    <w:p>
      <w:pPr>
        <w:ind w:left="720" w:hanging="419"/>
        <w:spacing w:after="0" w:line="253" w:lineRule="auto"/>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In January 2025, an aggregate of approximately $15.6 million in gross proceeds, before fees and expenses of approximately $1.4 million, from institutional investors;</w:t>
      </w:r>
    </w:p>
    <w:p>
      <w:pPr>
        <w:spacing w:after="0" w:line="2" w:lineRule="exact"/>
        <w:rPr>
          <w:sz w:val="20"/>
          <w:szCs w:val="20"/>
          <w:color w:val="auto"/>
        </w:rPr>
      </w:pPr>
    </w:p>
    <w:p>
      <w:pPr>
        <w:ind w:left="720" w:hanging="419"/>
        <w:spacing w:after="0"/>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In January 2025, approximately $916,000 in gross proceeds from the exercise of outstanding preferred investment options, before fees and expenses of $64,164;</w:t>
      </w:r>
    </w:p>
    <w:p>
      <w:pPr>
        <w:spacing w:after="0" w:line="1" w:lineRule="exact"/>
        <w:rPr>
          <w:sz w:val="20"/>
          <w:szCs w:val="20"/>
          <w:color w:val="auto"/>
        </w:rPr>
      </w:pPr>
    </w:p>
    <w:p>
      <w:pPr>
        <w:ind w:left="720" w:hanging="419"/>
        <w:spacing w:after="0"/>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In February 2025, an aggregate of approximately $ 13.0 million in gross proceeds, before fees and expenses of approximately $1.2 million, from the sale of our securities to institutional investors;</w:t>
      </w:r>
    </w:p>
    <w:p>
      <w:pPr>
        <w:spacing w:after="0" w:line="1" w:lineRule="exact"/>
        <w:rPr>
          <w:sz w:val="20"/>
          <w:szCs w:val="20"/>
          <w:color w:val="auto"/>
        </w:rPr>
      </w:pPr>
    </w:p>
    <w:p>
      <w:pPr>
        <w:ind w:left="720" w:hanging="419"/>
        <w:spacing w:after="0" w:line="239" w:lineRule="auto"/>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In April 2025, approximately $2.3 million in gross proceeds from the exercise of outstanding Series E and Series F preferred investment options, before fees and expenses of approximately $161,000;</w:t>
      </w:r>
    </w:p>
    <w:p>
      <w:pPr>
        <w:spacing w:after="0" w:line="1" w:lineRule="exact"/>
        <w:rPr>
          <w:sz w:val="20"/>
          <w:szCs w:val="20"/>
          <w:color w:val="auto"/>
        </w:rPr>
      </w:pPr>
    </w:p>
    <w:p>
      <w:pPr>
        <w:ind w:left="720" w:hanging="419"/>
        <w:spacing w:after="0"/>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In May 2025, approximately $1.4 million in gross proceeds from the exercise of outstanding Series F preferred investment options, before fees and expenses of approximately $98,000;</w:t>
      </w:r>
    </w:p>
    <w:p>
      <w:pPr>
        <w:spacing w:after="0" w:line="1" w:lineRule="exact"/>
        <w:rPr>
          <w:sz w:val="20"/>
          <w:szCs w:val="20"/>
          <w:color w:val="auto"/>
        </w:rPr>
      </w:pPr>
    </w:p>
    <w:p>
      <w:pPr>
        <w:ind w:left="720" w:hanging="419"/>
        <w:spacing w:after="0"/>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In June 2025, approximately $1.3 million in gross proceeds from the exercise of outstanding Series E, F and G preferred investment options, before fees and expenses of approximately $93,000;</w:t>
      </w:r>
    </w:p>
    <w:p>
      <w:pPr>
        <w:spacing w:after="0" w:line="1" w:lineRule="exact"/>
        <w:rPr>
          <w:sz w:val="20"/>
          <w:szCs w:val="20"/>
          <w:color w:val="auto"/>
        </w:rPr>
      </w:pPr>
    </w:p>
    <w:p>
      <w:pPr>
        <w:ind w:left="720" w:hanging="419"/>
        <w:spacing w:after="0" w:line="239" w:lineRule="auto"/>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In July 2025, approximately $12.2 million in gross proceeds from the exercise of outstanding Series F and G preferred investment options, before fees and expenses of approximately $706,000;</w:t>
      </w:r>
    </w:p>
    <w:p>
      <w:pPr>
        <w:spacing w:after="0" w:line="1" w:lineRule="exact"/>
        <w:rPr>
          <w:sz w:val="20"/>
          <w:szCs w:val="20"/>
          <w:color w:val="auto"/>
        </w:rPr>
      </w:pPr>
    </w:p>
    <w:p>
      <w:pPr>
        <w:ind w:left="720" w:hanging="419"/>
        <w:spacing w:after="0"/>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In August 2025, approximately $15.2 million in gross proceeds from the exercise of outstanding Series E, G, H, I preferred investment options, before fees and expenses of approximately $1.1 million;</w:t>
      </w:r>
    </w:p>
    <w:p>
      <w:pPr>
        <w:spacing w:after="0" w:line="1" w:lineRule="exact"/>
        <w:rPr>
          <w:sz w:val="20"/>
          <w:szCs w:val="20"/>
          <w:color w:val="auto"/>
        </w:rPr>
      </w:pPr>
    </w:p>
    <w:p>
      <w:pPr>
        <w:ind w:left="720" w:hanging="419"/>
        <w:spacing w:after="0"/>
        <w:tabs>
          <w:tab w:leader="none" w:pos="70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In September 2025, approximately $472,500 in gross proceeds from the exercise of outstanding Series H preferred investment options, before fees and expenses of $33,075;</w:t>
      </w:r>
    </w:p>
    <w:p>
      <w:pPr>
        <w:spacing w:after="0" w:line="1" w:lineRule="exact"/>
        <w:rPr>
          <w:sz w:val="20"/>
          <w:szCs w:val="20"/>
          <w:color w:val="auto"/>
        </w:rPr>
      </w:pPr>
    </w:p>
    <w:p>
      <w:pPr>
        <w:jc w:val="right"/>
        <w:ind w:left="300"/>
        <w:spacing w:after="0" w:line="252" w:lineRule="auto"/>
        <w:tabs>
          <w:tab w:leader="none" w:pos="72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September 2025, approximately $895,744 in gross proceeds from the exercise of placement agent options; Ɣ    In September 2025, an aggregate of approximately $26.5 million in gross proceeds from an inducement transaction exercise of outstanding preferred investment options, before fees and expenses of approximately</w:t>
      </w:r>
    </w:p>
    <w:p>
      <w:pPr>
        <w:ind w:left="7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$2.2 million, from institutional investors; and</w:t>
      </w:r>
    </w:p>
    <w:p>
      <w:pPr>
        <w:ind w:left="720" w:hanging="420"/>
        <w:spacing w:after="0" w:line="244"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Ɣ  In October 2025, an aggregate of approximately $2.8 million in gross proceeds from the inducement transaction exercise of outstanding preferred investment options, before fees and expenses of approximately $223,000, from institutional investors.</w:t>
      </w:r>
    </w:p>
    <w:p>
      <w:pPr>
        <w:spacing w:after="0" w:line="1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Microbot Israel obtained from the Israeli Innovation Authority (“IIA”) grants for participation in research and development for the years 2013 through December 31, 2025 in the total amount of approximately $2.5 million. This amount includes amounts received of approximately $518,000, which are a portion of an additional grant from the IIA in the amount of approximately NIS 2.2 million (approximately $673,000) approved on July 15, 2025, to further finance the development of the manufacturing process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w:t>
      </w:r>
    </w:p>
    <w:p>
      <w:pPr>
        <w:spacing w:after="0" w:line="17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As of December 31, 2025, Microbot received grants from the Ministry of Economy of the State of Israel in the amount of approximately $50,000, to further finance the marketing activities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in the U.S. market. In relation to the Ministry of Economy grant, the Company is obligated to pay royalties amounting to 3% of future sales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up to the grant amount plus interest.</w:t>
      </w:r>
    </w:p>
    <w:p>
      <w:pPr>
        <w:spacing w:after="0" w:line="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9"/>
          <w:szCs w:val="19"/>
          <w:color w:val="auto"/>
        </w:rPr>
        <w:t>To the extent available, Microbot intends to continue to raise capital through future public and private issuances of debt and/or equity securities, to fund its commercial activities and working capital and general business purposes, including to continue to build a commercial and sales team in the U.S. and elsewhere as part of its full market release of LIBERTY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expected in April 2026. The capital raises from issuances of convertible debt and equity securities could result in additional dilution to Microbot’s shareholders. In addition, to the extent Microbot is determined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 and will need</w:t>
      </w:r>
    </w:p>
    <w:p>
      <w:pPr>
        <w:sectPr>
          <w:pgSz w:w="12240" w:h="15840" w:orient="portrait"/>
          <w:cols w:equalWidth="0" w:num="1">
            <w:col w:w="9360"/>
          </w:cols>
          <w:pgMar w:left="1440" w:top="1421" w:right="1440" w:bottom="450" w:gutter="0" w:footer="0" w:header="0"/>
        </w:sect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1421" w:right="1440" w:bottom="450" w:gutter="0" w:footer="0" w:header="0"/>
          <w:type w:val="continuous"/>
        </w:sectPr>
      </w:pPr>
    </w:p>
    <w:bookmarkStart w:id="43" w:name="page44"/>
    <w:bookmarkEnd w:id="43"/>
    <w:p>
      <w:pPr>
        <w:jc w:val="both"/>
        <w:spacing w:after="0" w:line="229" w:lineRule="auto"/>
        <w:rPr>
          <w:sz w:val="20"/>
          <w:szCs w:val="20"/>
          <w:color w:val="auto"/>
        </w:rPr>
      </w:pPr>
      <w:r>
        <w:rPr>
          <w:rFonts w:ascii="Times New Roman" w:cs="Times New Roman" w:eastAsia="Times New Roman" w:hAnsi="Times New Roman"/>
          <w:sz w:val="20"/>
          <w:szCs w:val="20"/>
          <w:color w:val="auto"/>
        </w:rPr>
        <w:t>additional funds to continue the commercialization process for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w:t>
      </w:r>
    </w:p>
    <w:p>
      <w:pPr>
        <w:spacing w:after="0" w:line="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As of the filing date of this Annual Report on Form 10-K, management believes we have sufficient funds for our operations for in excess of one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provides a summary of the net cash flow activity for each of the periods presented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80" w:type="dxa"/>
            <w:vAlign w:val="bottom"/>
            <w:gridSpan w:val="8"/>
          </w:tcPr>
          <w:p>
            <w:pPr>
              <w:ind w:left="80"/>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tc>
        <w:tc>
          <w:tcPr>
            <w:tcW w:w="0" w:type="dxa"/>
            <w:vAlign w:val="bottom"/>
          </w:tcPr>
          <w:p>
            <w:pPr>
              <w:spacing w:after="0"/>
              <w:rPr>
                <w:sz w:val="1"/>
                <w:szCs w:val="1"/>
                <w:color w:val="auto"/>
              </w:rPr>
            </w:pPr>
          </w:p>
        </w:tc>
      </w:tr>
      <w:tr>
        <w:trPr>
          <w:trHeight w:val="232"/>
        </w:trPr>
        <w:tc>
          <w:tcPr>
            <w:tcW w:w="5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cash flows used in operating activities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(13,046)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40"/>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(8,827)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7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Net cash flows (used in) provided by investing activities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200"/>
              <w:spacing w:after="0" w:line="229" w:lineRule="exact"/>
              <w:rPr>
                <w:sz w:val="20"/>
                <w:szCs w:val="20"/>
                <w:color w:val="auto"/>
              </w:rPr>
            </w:pPr>
            <w:r>
              <w:rPr>
                <w:rFonts w:ascii="Times New Roman" w:cs="Times New Roman" w:eastAsia="Times New Roman" w:hAnsi="Times New Roman"/>
                <w:sz w:val="20"/>
                <w:szCs w:val="20"/>
                <w:color w:val="auto"/>
              </w:rPr>
              <w:t>(72,384)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3"/>
          </w:tcPr>
          <w:p>
            <w:pPr>
              <w:jc w:val="right"/>
              <w:ind w:right="60"/>
              <w:spacing w:after="0" w:line="229" w:lineRule="exact"/>
              <w:rPr>
                <w:sz w:val="20"/>
                <w:szCs w:val="20"/>
                <w:color w:val="auto"/>
              </w:rPr>
            </w:pPr>
            <w:r>
              <w:rPr>
                <w:rFonts w:ascii="Times New Roman" w:cs="Times New Roman" w:eastAsia="Times New Roman" w:hAnsi="Times New Roman"/>
                <w:sz w:val="20"/>
                <w:szCs w:val="20"/>
                <w:color w:val="auto"/>
              </w:rPr>
              <w:t>1,537</w:t>
            </w:r>
          </w:p>
        </w:tc>
        <w:tc>
          <w:tcPr>
            <w:tcW w:w="0" w:type="dxa"/>
            <w:vAlign w:val="bottom"/>
          </w:tcPr>
          <w:p>
            <w:pPr>
              <w:spacing w:after="0"/>
              <w:rPr>
                <w:sz w:val="1"/>
                <w:szCs w:val="1"/>
                <w:color w:val="auto"/>
              </w:rPr>
            </w:pPr>
          </w:p>
        </w:tc>
      </w:tr>
      <w:tr>
        <w:trPr>
          <w:trHeight w:val="249"/>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Net cash flows provided by financing activities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86,240</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7,936</w:t>
            </w:r>
          </w:p>
        </w:tc>
        <w:tc>
          <w:tcPr>
            <w:tcW w:w="0" w:type="dxa"/>
            <w:vAlign w:val="bottom"/>
          </w:tcPr>
          <w:p>
            <w:pPr>
              <w:spacing w:after="0"/>
              <w:rPr>
                <w:sz w:val="1"/>
                <w:szCs w:val="1"/>
                <w:color w:val="auto"/>
              </w:rPr>
            </w:pPr>
          </w:p>
        </w:tc>
      </w:tr>
      <w:tr>
        <w:trPr>
          <w:trHeight w:val="237"/>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in cash, cash equivalents and restricted cash</w:t>
            </w: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810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The increase in net cash flows used in operating activities was primarily from an increase in research and development expenses, manufacturing inventory, sales and marketing, and general and administration expenses discussed above.</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The increase of net cash flows used in investing activities was primarily due to an increase in purchases of marketable securities in 2025 compared to 2024.</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increase in net cash flows provided by financing activities was due to increased issuances of common stock and warrants in 2025 compared to 2024, also discussed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7A. </w:t>
      </w:r>
      <w:r>
        <w:rPr>
          <w:rFonts w:ascii="Times New Roman" w:cs="Times New Roman" w:eastAsia="Times New Roman" w:hAnsi="Times New Roman"/>
          <w:sz w:val="20"/>
          <w:szCs w:val="20"/>
          <w:b w:val="1"/>
          <w:bCs w:val="1"/>
          <w:u w:val="single" w:color="auto"/>
          <w:color w:val="auto"/>
        </w:rPr>
        <w:t>Quantitative and Qualitative Disclosures About Market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Risk</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Microbot’s cash and cash equivalents as of December 31, 2025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Exchange Risks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Exchange rate fluctuations may have an adverse impact on our future profitability,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Effects of Inflation</w:t>
      </w:r>
    </w:p>
    <w:p>
      <w:pPr>
        <w:spacing w:after="0" w:line="122"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Inflation generally affects Microbot by increasing its research and development expenses. Microbot does not believe that inflation and changing prices had a significant impact on its results of operations for any periods presented herein.</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1421" w:right="1440" w:bottom="45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 xml:space="preserve">Item 8. </w:t>
      </w:r>
      <w:r>
        <w:rPr>
          <w:rFonts w:ascii="Times New Roman" w:cs="Times New Roman" w:eastAsia="Times New Roman" w:hAnsi="Times New Roman"/>
          <w:sz w:val="20"/>
          <w:szCs w:val="20"/>
          <w:b w:val="1"/>
          <w:bCs w:val="1"/>
          <w:u w:val="single" w:color="auto"/>
          <w:color w:val="auto"/>
        </w:rPr>
        <w:t>Financial Statements and Supplementary Data.</w:t>
      </w:r>
    </w:p>
    <w:p>
      <w:pPr>
        <w:spacing w:after="0" w:line="1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The consolidated financial statements and supplementary data required by this item are included in this Annual Report on Form 10-K immediately following Part IV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 </w:t>
      </w:r>
      <w:r>
        <w:rPr>
          <w:rFonts w:ascii="Times New Roman" w:cs="Times New Roman" w:eastAsia="Times New Roman" w:hAnsi="Times New Roman"/>
          <w:sz w:val="20"/>
          <w:szCs w:val="20"/>
          <w:b w:val="1"/>
          <w:bCs w:val="1"/>
          <w:u w:val="single" w:color="auto"/>
          <w:color w:val="auto"/>
        </w:rPr>
        <w:t>Changes in and Disagreements with Accountants on Accounting and Financial Disclosure.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9A. </w:t>
      </w:r>
      <w:r>
        <w:rPr>
          <w:rFonts w:ascii="Times New Roman" w:cs="Times New Roman" w:eastAsia="Times New Roman" w:hAnsi="Times New Roman"/>
          <w:sz w:val="20"/>
          <w:szCs w:val="20"/>
          <w:b w:val="1"/>
          <w:bCs w:val="1"/>
          <w:u w:val="single" w:color="auto"/>
          <w:color w:val="auto"/>
        </w:rPr>
        <w:t>Controls and Procedures.</w:t>
      </w:r>
    </w:p>
    <w:p>
      <w:pPr>
        <w:spacing w:after="0" w:line="1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Disclosure Controls and Procedures</w:t>
      </w:r>
      <w:r>
        <w:rPr>
          <w:rFonts w:ascii="Times New Roman" w:cs="Times New Roman" w:eastAsia="Times New Roman" w:hAnsi="Times New Roman"/>
          <w:sz w:val="20"/>
          <w:szCs w:val="20"/>
          <w:color w:val="auto"/>
        </w:rPr>
        <w:t>. We maintain a system of disclosure controls and procedures (as defined in Rule 13a-15(e) under the Exchange Act) .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December 31, 2025. Based on that review and evaluation, the Chief Executive Officer and Chief Financial Officer, along with the management of the Company, have determined that as of December 31, 2025,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Management’s Annual Report on Internal Control Over Financial Reporting.</w:t>
      </w:r>
      <w:r>
        <w:rPr>
          <w:rFonts w:ascii="Times New Roman" w:cs="Times New Roman" w:eastAsia="Times New Roman" w:hAnsi="Times New Roman"/>
          <w:sz w:val="20"/>
          <w:szCs w:val="20"/>
          <w:color w:val="auto"/>
        </w:rPr>
        <w:t xml:space="preserve"> Our management is responsible for establishing and maintaining effective internal control over financial reporting (as defined in Rule 13a - 15(f) of the Exchange Act). There are inherent limitations to the effectiveness of any internal control, including the possibility of human error and the circumvention or overriding of controls. Accordingly, even effective internal controls can provide only reasonable assurance with respect to financial statement preparation. Further, because of changes in conditions, the effectiveness of internal control may vary over time. We have assessed the effectiveness of our internal controls over financial reporting (as defined in Rule 13a -15(f) of the Exchange Act) as of December 31, 2025, and have concluded that, as of December 31, 2025, our internal control over financial reporting was effective.</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This annual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u w:val="single" w:color="auto"/>
          <w:color w:val="auto"/>
        </w:rPr>
        <w:t>Changes in Internal Control Over Financial Reporting.</w:t>
      </w:r>
      <w:r>
        <w:rPr>
          <w:rFonts w:ascii="Times New Roman" w:cs="Times New Roman" w:eastAsia="Times New Roman" w:hAnsi="Times New Roman"/>
          <w:sz w:val="20"/>
          <w:szCs w:val="20"/>
          <w:color w:val="auto"/>
        </w:rPr>
        <w:t xml:space="preserve"> 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9B. </w:t>
      </w:r>
      <w:r>
        <w:rPr>
          <w:rFonts w:ascii="Times New Roman" w:cs="Times New Roman" w:eastAsia="Times New Roman" w:hAnsi="Times New Roman"/>
          <w:sz w:val="20"/>
          <w:szCs w:val="20"/>
          <w:b w:val="1"/>
          <w:bCs w:val="1"/>
          <w:u w:val="single" w:color="auto"/>
          <w:color w:val="auto"/>
        </w:rPr>
        <w:t>Other Information.</w:t>
      </w:r>
    </w:p>
    <w:p>
      <w:pPr>
        <w:spacing w:after="0" w:line="2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Except as described below, during the three months ended December 31, 2025, no director or officer, as defined in Rule 16a-1(f) under the Securities Exchange Act of 1934, as amended, of the Company adopted or terminated a “Rule 10b5-1 trading arrangement” or “non-Rule 10b5-1 trading arrangement,” as each term is defined in Item 408(a) of Regulation S-K.</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On December 10, 2025, Simon Sharon, our Chief Technology Officer and General Manager, Microbot Israel, adopted a Rule 10b5-1 trading arrangement with the intention to satisfy the affirmative defense of Rule 10b5-1(c). The trading arrangement is for a term of two years, and is for a total of 185,888 shares of the Company’s common stock that Mr. Sharon may acquire through the exercise of outstanding stock options owned by him.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9C. </w:t>
      </w:r>
      <w:r>
        <w:rPr>
          <w:rFonts w:ascii="Times New Roman" w:cs="Times New Roman" w:eastAsia="Times New Roman" w:hAnsi="Times New Roman"/>
          <w:sz w:val="20"/>
          <w:szCs w:val="20"/>
          <w:b w:val="1"/>
          <w:bCs w:val="1"/>
          <w:u w:val="single" w:color="auto"/>
          <w:color w:val="auto"/>
        </w:rPr>
        <w:t>Disclosure Regarding Foreign Jurisdictions that Prevent Inspections.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1417" w:right="1440" w:bottom="45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1417" w:right="1440" w:bottom="450" w:gutter="0" w:footer="0" w:header="0"/>
          <w:type w:val="continuous"/>
        </w:sectPr>
      </w:pPr>
    </w:p>
    <w:bookmarkStart w:id="45" w:name="page46"/>
    <w:bookmarkEnd w:id="45"/>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10. </w:t>
      </w:r>
      <w:r>
        <w:rPr>
          <w:rFonts w:ascii="Times New Roman" w:cs="Times New Roman" w:eastAsia="Times New Roman" w:hAnsi="Times New Roman"/>
          <w:sz w:val="20"/>
          <w:szCs w:val="20"/>
          <w:b w:val="1"/>
          <w:bCs w:val="1"/>
          <w:u w:val="single" w:color="auto"/>
          <w:color w:val="auto"/>
        </w:rPr>
        <w:t>Directors, Executive Officers, and Corporate Governance.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Board of Directors</w:t>
      </w:r>
    </w:p>
    <w:p>
      <w:pPr>
        <w:spacing w:after="0" w:line="23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We currently have seven directors serving on our Board. The following table lists the names, ages and positions of the individuals who serve as directors of the Company, as of March 24,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80" w:type="dxa"/>
            <w:vAlign w:val="bottom"/>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Age</w:t>
            </w:r>
          </w:p>
        </w:tc>
        <w:tc>
          <w:tcPr>
            <w:tcW w:w="180" w:type="dxa"/>
            <w:vAlign w:val="bottom"/>
          </w:tcPr>
          <w:p>
            <w:pPr>
              <w:spacing w:after="0"/>
              <w:rPr>
                <w:sz w:val="21"/>
                <w:szCs w:val="21"/>
                <w:color w:val="auto"/>
              </w:rPr>
            </w:pPr>
          </w:p>
        </w:tc>
        <w:tc>
          <w:tcPr>
            <w:tcW w:w="562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211"/>
        </w:trPr>
        <w:tc>
          <w:tcPr>
            <w:tcW w:w="262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Harel Gadot</w:t>
            </w:r>
          </w:p>
        </w:tc>
        <w:tc>
          <w:tcPr>
            <w:tcW w:w="180" w:type="dxa"/>
            <w:vAlign w:val="bottom"/>
          </w:tcPr>
          <w:p>
            <w:pPr>
              <w:spacing w:after="0"/>
              <w:rPr>
                <w:sz w:val="18"/>
                <w:szCs w:val="18"/>
                <w:color w:val="auto"/>
              </w:rPr>
            </w:pPr>
          </w:p>
        </w:tc>
        <w:tc>
          <w:tcPr>
            <w:tcW w:w="76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54</w:t>
            </w:r>
          </w:p>
        </w:tc>
        <w:tc>
          <w:tcPr>
            <w:tcW w:w="180" w:type="dxa"/>
            <w:vAlign w:val="bottom"/>
          </w:tcPr>
          <w:p>
            <w:pPr>
              <w:spacing w:after="0"/>
              <w:rPr>
                <w:sz w:val="18"/>
                <w:szCs w:val="18"/>
                <w:color w:val="auto"/>
              </w:rPr>
            </w:pPr>
          </w:p>
        </w:tc>
        <w:tc>
          <w:tcPr>
            <w:tcW w:w="562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President, Chief Executive Officer and Chairman of the Board of</w:t>
            </w:r>
          </w:p>
        </w:tc>
      </w:tr>
      <w:tr>
        <w:trPr>
          <w:trHeight w:val="230"/>
        </w:trPr>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Directors</w:t>
            </w: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Scott Burell(1)(2)</w:t>
            </w:r>
          </w:p>
        </w:tc>
        <w:tc>
          <w:tcPr>
            <w:tcW w:w="9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61</w:t>
            </w:r>
          </w:p>
        </w:tc>
        <w:tc>
          <w:tcPr>
            <w:tcW w:w="58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Martin Madden(1)(3)</w:t>
            </w:r>
          </w:p>
        </w:tc>
        <w:tc>
          <w:tcPr>
            <w:tcW w:w="9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65</w:t>
            </w:r>
          </w:p>
        </w:tc>
        <w:tc>
          <w:tcPr>
            <w:tcW w:w="1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28"/>
        </w:trPr>
        <w:tc>
          <w:tcPr>
            <w:tcW w:w="26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Prattipati Laxminarain(2)</w:t>
            </w:r>
          </w:p>
        </w:tc>
        <w:tc>
          <w:tcPr>
            <w:tcW w:w="940" w:type="dxa"/>
            <w:vAlign w:val="bottom"/>
            <w:gridSpan w:val="2"/>
          </w:tcPr>
          <w:p>
            <w:pPr>
              <w:jc w:val="center"/>
              <w:ind w:left="80"/>
              <w:spacing w:after="0" w:line="229" w:lineRule="exact"/>
              <w:rPr>
                <w:sz w:val="20"/>
                <w:szCs w:val="20"/>
                <w:color w:val="auto"/>
              </w:rPr>
            </w:pPr>
            <w:r>
              <w:rPr>
                <w:rFonts w:ascii="Times New Roman" w:cs="Times New Roman" w:eastAsia="Times New Roman" w:hAnsi="Times New Roman"/>
                <w:sz w:val="20"/>
                <w:szCs w:val="20"/>
                <w:color w:val="auto"/>
                <w:w w:val="99"/>
              </w:rPr>
              <w:t>68</w:t>
            </w:r>
          </w:p>
        </w:tc>
        <w:tc>
          <w:tcPr>
            <w:tcW w:w="180" w:type="dxa"/>
            <w:vAlign w:val="bottom"/>
          </w:tcPr>
          <w:p>
            <w:pPr>
              <w:spacing w:after="0"/>
              <w:rPr>
                <w:sz w:val="19"/>
                <w:szCs w:val="19"/>
                <w:color w:val="auto"/>
              </w:rPr>
            </w:pPr>
          </w:p>
        </w:tc>
        <w:tc>
          <w:tcPr>
            <w:tcW w:w="56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Aileen Stockburger(3)</w:t>
            </w:r>
          </w:p>
        </w:tc>
        <w:tc>
          <w:tcPr>
            <w:tcW w:w="9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63</w:t>
            </w:r>
          </w:p>
        </w:tc>
        <w:tc>
          <w:tcPr>
            <w:tcW w:w="58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Tal Wenderow(2)</w:t>
            </w:r>
          </w:p>
        </w:tc>
        <w:tc>
          <w:tcPr>
            <w:tcW w:w="9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51</w:t>
            </w:r>
          </w:p>
        </w:tc>
        <w:tc>
          <w:tcPr>
            <w:tcW w:w="58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Director</w:t>
            </w: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David J. Wilson (1)(3)</w:t>
            </w:r>
          </w:p>
        </w:tc>
        <w:tc>
          <w:tcPr>
            <w:tcW w:w="9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58</w:t>
            </w:r>
          </w:p>
        </w:tc>
        <w:tc>
          <w:tcPr>
            <w:tcW w:w="1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r>
      <w:tr>
        <w:trPr>
          <w:trHeight w:val="265"/>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__________</w:t>
            </w: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20" w:type="dxa"/>
            <w:vAlign w:val="bottom"/>
          </w:tcPr>
          <w:p>
            <w:pPr>
              <w:spacing w:after="0"/>
              <w:rPr>
                <w:sz w:val="23"/>
                <w:szCs w:val="23"/>
                <w:color w:val="auto"/>
              </w:rPr>
            </w:pPr>
          </w:p>
        </w:tc>
      </w:tr>
    </w:tbl>
    <w:p>
      <w:pPr>
        <w:ind w:left="720" w:hanging="72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Audit Committee.</w:t>
      </w:r>
    </w:p>
    <w:p>
      <w:pPr>
        <w:spacing w:after="0" w:line="15"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Corporate Governance Committee.</w:t>
      </w:r>
    </w:p>
    <w:p>
      <w:pPr>
        <w:ind w:left="720" w:hanging="72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Compensation Committee.</w:t>
      </w:r>
    </w:p>
    <w:p>
      <w:pPr>
        <w:spacing w:after="0" w:line="20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We have a classified Board, with each of our directors serving a staggered three-year term. The following table shows the current composition of the three classes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I Directors (term scheduled to expire in 2028):</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Harel Gadot</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Martin Madden</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Tal Wenderow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II Directors (term scheduled to expire in 2026):</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Scott Burell</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Aileen Stockburger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 III Directors (term scheduled to expire in 2027):</w:t>
      </w:r>
    </w:p>
    <w:p>
      <w:pPr>
        <w:spacing w:after="0" w:line="2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David J. Wilson</w:t>
      </w: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Prattipati Laxminarain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Biographies</w:t>
      </w:r>
    </w:p>
    <w:p>
      <w:pPr>
        <w:spacing w:after="0" w:line="2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i w:val="1"/>
          <w:iCs w:val="1"/>
          <w:color w:val="auto"/>
        </w:rPr>
        <w:t>Harel Gadot</w:t>
      </w:r>
      <w:r>
        <w:rPr>
          <w:rFonts w:ascii="Times New Roman" w:cs="Times New Roman" w:eastAsia="Times New Roman" w:hAnsi="Times New Roman"/>
          <w:sz w:val="19"/>
          <w:szCs w:val="19"/>
          <w:color w:val="auto"/>
        </w:rPr>
        <w:t>, became President, Chief Executive Officer and Chairman of the Company’s Board following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consummation of the Merger. Mr. Gadot is a co-founder of Microbot Israel and has served as Microbot Israel’s Chief Executive Officer since Microbot Israel was founded in November 2010. He also serves as a director from September 2025 of Brenmiller Energy (NASDAQ: BNRG).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served as Chairman of MEDX Xelerator L.P., a medical device and digital health Israeli incubator, from July 2016 until August 2025.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w:t>
      </w:r>
    </w:p>
    <w:p>
      <w:pPr>
        <w:sectPr>
          <w:pgSz w:w="12240" w:h="15840" w:orient="portrait"/>
          <w:cols w:equalWidth="0" w:num="1">
            <w:col w:w="9360"/>
          </w:cols>
          <w:pgMar w:left="1440" w:top="1440" w:right="1440" w:bottom="450" w:gutter="0" w:footer="0" w:header="0"/>
        </w:sect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1440" w:right="1440" w:bottom="450" w:gutter="0" w:footer="0" w:header="0"/>
          <w:type w:val="continuous"/>
        </w:sectPr>
      </w:pPr>
    </w:p>
    <w:bookmarkStart w:id="46" w:name="page47"/>
    <w:bookmarkEnd w:id="46"/>
    <w:p>
      <w:pPr>
        <w:jc w:val="both"/>
        <w:spacing w:after="0" w:line="249" w:lineRule="auto"/>
        <w:rPr>
          <w:sz w:val="20"/>
          <w:szCs w:val="20"/>
          <w:color w:val="auto"/>
        </w:rPr>
      </w:pPr>
      <w:r>
        <w:rPr>
          <w:rFonts w:ascii="Times New Roman" w:cs="Times New Roman" w:eastAsia="Times New Roman" w:hAnsi="Times New Roman"/>
          <w:sz w:val="20"/>
          <w:szCs w:val="20"/>
          <w:color w:val="auto"/>
        </w:rPr>
        <w:t>Gadot served as director for ConTIPI Ltd. from August 2010 until November 2013 when ConTIPI Ltd. was acquired by Kimberly- 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i w:val="1"/>
          <w:iCs w:val="1"/>
          <w:color w:val="auto"/>
        </w:rPr>
        <w:t>Scott R. Burell</w:t>
      </w:r>
      <w:r>
        <w:rPr>
          <w:rFonts w:ascii="Times New Roman" w:cs="Times New Roman" w:eastAsia="Times New Roman" w:hAnsi="Times New Roman"/>
          <w:sz w:val="20"/>
          <w:szCs w:val="20"/>
          <w:color w:val="auto"/>
        </w:rPr>
        <w:t>, became a director of the Company in November 2016. Since August 2018, Mr. Burell has been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Chief Financial Officer and Secretary of AIVITA Biomedical, Inc., an Irvine California -based immuno-oncology company focused on the advancement of commercial and clinical-stage programs utilizing curative and regenerative medicines. In October 2025, Mr. Burell was appointed to the Board of Directors of Expion360 (Nasdaq: XPON), an industry leader of premium lithium iron phosphate batteries and accessories for recreational vehicles and marine applications, with residential and industrial applications under development.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2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Martin Madden</w:t>
      </w:r>
      <w:r>
        <w:rPr>
          <w:rFonts w:ascii="Times New Roman" w:cs="Times New Roman" w:eastAsia="Times New Roman" w:hAnsi="Times New Roman"/>
          <w:sz w:val="20"/>
          <w:szCs w:val="20"/>
          <w:color w:val="auto"/>
        </w:rPr>
        <w:t>, has been a director of the Company since February 6, 2017. Mr. Madden has held various positions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at Johnson &amp; Johnson and its affiliates 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 -Surgery,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Prattipati Laxminarain</w:t>
      </w:r>
      <w:r>
        <w:rPr>
          <w:rFonts w:ascii="Times New Roman" w:cs="Times New Roman" w:eastAsia="Times New Roman" w:hAnsi="Times New Roman"/>
          <w:sz w:val="19"/>
          <w:szCs w:val="19"/>
          <w:color w:val="auto"/>
        </w:rPr>
        <w:t>, has been a director of the Company since December 6, 2017. From April 2006 through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October 2017, Mr. Laxminarain served as 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was the CEO of Deinde Medical Corporation through June 2025, and is a Board Member of Deinde Medical Corporation, Oculogica Inc., Millar Inc., and GT Medical Inc. He has a degree in Mechanical Engineering from Osmania University, Hyderabad, India and an MBA from Indian Institute of Management. The Company</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1421" w:right="1440" w:bottom="450" w:gutter="0" w:footer="0" w:header="0"/>
          <w:type w:val="continuous"/>
        </w:sectPr>
      </w:pPr>
    </w:p>
    <w:bookmarkStart w:id="47" w:name="page48"/>
    <w:bookmarkEnd w:id="47"/>
    <w:p>
      <w:pPr>
        <w:jc w:val="both"/>
        <w:spacing w:after="0" w:line="277" w:lineRule="auto"/>
        <w:rPr>
          <w:sz w:val="20"/>
          <w:szCs w:val="20"/>
          <w:color w:val="auto"/>
        </w:rPr>
      </w:pPr>
      <w:r>
        <w:rPr>
          <w:rFonts w:ascii="Times New Roman" w:cs="Times New Roman" w:eastAsia="Times New Roman" w:hAnsi="Times New Roman"/>
          <w:sz w:val="20"/>
          <w:szCs w:val="20"/>
          <w:color w:val="auto"/>
        </w:rPr>
        <w:t>believes that Mr. Laxminarain is qualified as a Board member of the Company because of his extensive experience working with medical device companies and knowledge of the industries in which the Company intends to compete.</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Aileen Stockburger </w:t>
      </w:r>
      <w:r>
        <w:rPr>
          <w:rFonts w:ascii="Times New Roman" w:cs="Times New Roman" w:eastAsia="Times New Roman" w:hAnsi="Times New Roman"/>
          <w:sz w:val="20"/>
          <w:szCs w:val="20"/>
          <w:color w:val="auto"/>
        </w:rPr>
        <w:t>was appointed by the Board on March 26, 2020 to fill a vacancy on the Board and to serve as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Class II director of the Company, with a 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Tal Wenderow </w:t>
      </w:r>
      <w:r>
        <w:rPr>
          <w:rFonts w:ascii="Times New Roman" w:cs="Times New Roman" w:eastAsia="Times New Roman" w:hAnsi="Times New Roman"/>
          <w:sz w:val="20"/>
          <w:szCs w:val="20"/>
          <w:color w:val="auto"/>
        </w:rPr>
        <w:t>was appointed by the Board on July 29, 2020 to fill a vacancy on the Board and to serve as a Class 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director of the Company, with a term commencing on August 1, 2020. In May 2025, he became the Founding Managing Partner of Star51 Capital, a new investment vehicle focused on the intersection of Medtech &amp; AI. From June 2024 to December 2024, Mr. Wenderow served as interim CEO of Sensory Cloud Inc., a health technology company pioneering treatments for respiratory human illnesses of the airway lining.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David J. Wilson </w:t>
      </w:r>
      <w:r>
        <w:rPr>
          <w:rFonts w:ascii="Times New Roman" w:cs="Times New Roman" w:eastAsia="Times New Roman" w:hAnsi="Times New Roman"/>
          <w:sz w:val="19"/>
          <w:szCs w:val="19"/>
          <w:color w:val="auto"/>
        </w:rPr>
        <w:t>, was elected at our December 17, 2024 Annual Meeting of Stockholders as a Class III director for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three-year term, was subsequently appointed by the Board of Directors of the Company to serve as a member of the Company’s Audit Committee and Compensation Committee. Since March 2022, Mr. Wilson has been the Chief Executive Officer and a director of InnovHeart Corporation, a private company developing transcatheter mitral valve replacement systems to treat patients suffering from mitral valve disease. From September 2017 to October 2021, he was the President of Global Plasma at Haemonetics Corporation where he led the global commercialization of a next generation plasma collection system. He dedicated two decades in roles of increasing responsibility with various Johnson and Johnson (J&amp;J) companies, including as the Worldwide President of Cordis. In this role, he led the global integration of Cordis into Cardinal Health and rejuvenated the product portfolio through business development deals. Mr. Wilson held other leadership roles at J&amp;J companies, namely President of Mentor, Vice President of Ethicon R&amp;D and Vice President of Ethicon Biosurgicals. Earlier in his tenure with J&amp;J, he attained senior leadership roles at Cordis Endovascular as Vice President of R&amp;D and Regional Director of Sales. Mr. Wilson currently serves as an Engineering Advisory Board member (Chair) for the University of Alabama at Birmingham School of Engineering. He is the holder of 10 medical device patents and has served as a Board member of several educational and healthcare institutions in the US. His education includes a Bachelor of Mechanical Engineering from Auburn University, a Master of Science in Biomedical Engineering from the University of Alabama at Birmingham and a Master of Business Administration from Columbia University. The Company believes that Mr. Wilson is qualified to serve as a member of the Board due to his experience as a healthcare and medical device executive, including extensive experience in general management, research and development, marketing, sales and supply chain management.</w:t>
      </w:r>
    </w:p>
    <w:p>
      <w:pPr>
        <w:sectPr>
          <w:pgSz w:w="12240" w:h="15840" w:orient="portrait"/>
          <w:cols w:equalWidth="0" w:num="1">
            <w:col w:w="9360"/>
          </w:cols>
          <w:pgMar w:left="1440" w:top="1421" w:right="1440" w:bottom="450"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1421" w:right="1440" w:bottom="45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Officers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Following are the name, age and other information for our executive officers, as of March 24, 2026.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80" w:type="dxa"/>
            <w:vAlign w:val="bottom"/>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Age</w:t>
            </w:r>
          </w:p>
        </w:tc>
        <w:tc>
          <w:tcPr>
            <w:tcW w:w="180" w:type="dxa"/>
            <w:vAlign w:val="bottom"/>
          </w:tcPr>
          <w:p>
            <w:pPr>
              <w:spacing w:after="0"/>
              <w:rPr>
                <w:sz w:val="21"/>
                <w:szCs w:val="21"/>
                <w:color w:val="auto"/>
              </w:rPr>
            </w:pPr>
          </w:p>
        </w:tc>
        <w:tc>
          <w:tcPr>
            <w:tcW w:w="562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211"/>
        </w:trPr>
        <w:tc>
          <w:tcPr>
            <w:tcW w:w="262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Harel Gadot</w:t>
            </w:r>
          </w:p>
        </w:tc>
        <w:tc>
          <w:tcPr>
            <w:tcW w:w="180" w:type="dxa"/>
            <w:vAlign w:val="bottom"/>
          </w:tcPr>
          <w:p>
            <w:pPr>
              <w:spacing w:after="0"/>
              <w:rPr>
                <w:sz w:val="18"/>
                <w:szCs w:val="18"/>
                <w:color w:val="auto"/>
              </w:rPr>
            </w:pPr>
          </w:p>
        </w:tc>
        <w:tc>
          <w:tcPr>
            <w:tcW w:w="76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54</w:t>
            </w:r>
          </w:p>
        </w:tc>
        <w:tc>
          <w:tcPr>
            <w:tcW w:w="180" w:type="dxa"/>
            <w:vAlign w:val="bottom"/>
          </w:tcPr>
          <w:p>
            <w:pPr>
              <w:spacing w:after="0"/>
              <w:rPr>
                <w:sz w:val="18"/>
                <w:szCs w:val="18"/>
                <w:color w:val="auto"/>
              </w:rPr>
            </w:pPr>
          </w:p>
        </w:tc>
        <w:tc>
          <w:tcPr>
            <w:tcW w:w="562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President, Chief Executive Officer and Chairman of the Board of</w:t>
            </w:r>
          </w:p>
        </w:tc>
      </w:tr>
      <w:tr>
        <w:trPr>
          <w:trHeight w:val="228"/>
        </w:trPr>
        <w:tc>
          <w:tcPr>
            <w:tcW w:w="2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Directors</w:t>
            </w: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Rachel Vaknin</w:t>
            </w:r>
          </w:p>
        </w:tc>
        <w:tc>
          <w:tcPr>
            <w:tcW w:w="9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47</w:t>
            </w:r>
          </w:p>
        </w:tc>
        <w:tc>
          <w:tcPr>
            <w:tcW w:w="1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Simon Sharon</w:t>
            </w:r>
          </w:p>
        </w:tc>
        <w:tc>
          <w:tcPr>
            <w:tcW w:w="9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66</w:t>
            </w:r>
          </w:p>
        </w:tc>
        <w:tc>
          <w:tcPr>
            <w:tcW w:w="18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Chief Technology Officer and General Manager, Microbot Israel</w:t>
            </w:r>
          </w:p>
        </w:tc>
      </w:tr>
      <w:tr>
        <w:trPr>
          <w:trHeight w:val="265"/>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Juan Diaz-Cartelle</w:t>
            </w:r>
          </w:p>
        </w:tc>
        <w:tc>
          <w:tcPr>
            <w:tcW w:w="940" w:type="dxa"/>
            <w:vAlign w:val="bottom"/>
            <w:gridSpan w:val="2"/>
          </w:tcPr>
          <w:p>
            <w:pPr>
              <w:jc w:val="center"/>
              <w:ind w:left="80"/>
              <w:spacing w:after="0"/>
              <w:rPr>
                <w:sz w:val="20"/>
                <w:szCs w:val="20"/>
                <w:color w:val="auto"/>
              </w:rPr>
            </w:pPr>
            <w:r>
              <w:rPr>
                <w:rFonts w:ascii="Times New Roman" w:cs="Times New Roman" w:eastAsia="Times New Roman" w:hAnsi="Times New Roman"/>
                <w:sz w:val="20"/>
                <w:szCs w:val="20"/>
                <w:color w:val="auto"/>
                <w:w w:val="99"/>
              </w:rPr>
              <w:t>50</w:t>
            </w:r>
          </w:p>
        </w:tc>
        <w:tc>
          <w:tcPr>
            <w:tcW w:w="18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Chief Medical Officer</w:t>
            </w:r>
          </w:p>
        </w:tc>
      </w:tr>
    </w:tbl>
    <w:p>
      <w:pPr>
        <w:spacing w:after="0" w:line="1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Rachel Vaknin, </w:t>
      </w:r>
      <w:r>
        <w:rPr>
          <w:rFonts w:ascii="Times New Roman" w:cs="Times New Roman" w:eastAsia="Times New Roman" w:hAnsi="Times New Roman"/>
          <w:sz w:val="20"/>
          <w:szCs w:val="20"/>
          <w:color w:val="auto"/>
        </w:rPr>
        <w:t>has served as the Company’s Chief Financial Officer since April 2022 and before that was its VP</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Finance since January 2022. From September 2017 to December 2021, Ms. Vaknin served as the Chief Financial Officer at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managing FP&amp;A, leading teams with respect to preparing quarterly financial statements, obtaining and managing grant monies, and Sarbanes-Oxley controls.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Simon Sharon</w:t>
      </w:r>
      <w:r>
        <w:rPr>
          <w:rFonts w:ascii="Times New Roman" w:cs="Times New Roman" w:eastAsia="Times New Roman" w:hAnsi="Times New Roman"/>
          <w:sz w:val="20"/>
          <w:szCs w:val="20"/>
          <w:color w:val="auto"/>
        </w:rPr>
        <w:t>, has served as the Company’s Chief Technology Officer since April 2018 and as the General Manager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Microbot Israel since April 2021. 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i w:val="1"/>
          <w:iCs w:val="1"/>
          <w:color w:val="auto"/>
        </w:rPr>
        <w:t>Dr. Juan Diaz-Cartelle</w:t>
      </w:r>
      <w:r>
        <w:rPr>
          <w:rFonts w:ascii="Times New Roman" w:cs="Times New Roman" w:eastAsia="Times New Roman" w:hAnsi="Times New Roman"/>
          <w:sz w:val="20"/>
          <w:szCs w:val="20"/>
          <w:color w:val="auto"/>
        </w:rPr>
        <w:t>, has served as the Company’s Chief Medical Officer since December 1, 2023. As CMO, Dr.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Diaz-Cartelle will lead the development and execution of the clinical strategy of the Company, including its planned clinical trials for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Committees of the Board of Directors</w:t>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1421" w:right="1440" w:bottom="450" w:gutter="0" w:footer="0" w:header="0"/>
          <w:type w:val="continuous"/>
        </w:sectPr>
      </w:pPr>
    </w:p>
    <w:bookmarkStart w:id="49" w:name="page50"/>
    <w:bookmarkEnd w:id="49"/>
    <w:p>
      <w:pPr>
        <w:jc w:val="both"/>
        <w:spacing w:after="0" w:line="277" w:lineRule="auto"/>
        <w:rPr>
          <w:sz w:val="20"/>
          <w:szCs w:val="20"/>
          <w:color w:val="auto"/>
        </w:rPr>
      </w:pPr>
      <w:r>
        <w:rPr>
          <w:rFonts w:ascii="Times New Roman" w:cs="Times New Roman" w:eastAsia="Times New Roman" w:hAnsi="Times New Roman"/>
          <w:sz w:val="20"/>
          <w:szCs w:val="20"/>
          <w:color w:val="auto"/>
        </w:rPr>
        <w:t>Corporate Governance Committee are required by the charters of the respective committees to be, independent as determined under Nasdaq Listing rules.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Audit Committee</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Audit Committee is composed of Messrs. Burell, Madden and Wilson. Each of the members of the Audit Committee is independent, and the Board has determined that Mr. Burell, the Chair of the Audit Committee, is an “audit committee financial expert,” as defined in SEC rules. The Audit Committee acts pursuant to a written charter which is available through our website at www.microbotmedical.com. The Audit Committee held four meetings and acted by unanimous written consent one time during the fiscal year ended December 31, 2025.</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Compensation Committee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Compensation Committee is composed of Messrs. Madden (Chairman), Wilson and Stockburger. Each of the members of the Compensation Committee is independent. The Compensation Committee acts pursuant to a written charter which is available through our website at www.microbotmedical.com. The Compensation Committee held three meetings during the fiscal year ended December 31, 2025 and acted by unanimous written consent three times.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Compensation Committee acts pursuant to a written charter. The Compensation Committee makes recommendations to the Board of Directors and management concerning executive compensation in general, determines executive compensation and approves equity incentive compensation for employees and consultants.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Corporate Governance Committee</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The Corporate Governance Committee is composed of Messrs. Laxminarain (Chairman),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2025.</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w:t>
      </w:r>
    </w:p>
    <w:p>
      <w:pPr>
        <w:sectPr>
          <w:pgSz w:w="12240" w:h="15840" w:orient="portrait"/>
          <w:cols w:equalWidth="0" w:num="1">
            <w:col w:w="9360"/>
          </w:cols>
          <w:pgMar w:left="1440" w:top="1421" w:right="1440" w:bottom="450"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1421" w:right="1440" w:bottom="450" w:gutter="0" w:footer="0" w:header="0"/>
          <w:type w:val="continuous"/>
        </w:sectPr>
      </w:pPr>
    </w:p>
    <w:bookmarkStart w:id="50" w:name="page51"/>
    <w:bookmarkEnd w:id="50"/>
    <w:p>
      <w:pPr>
        <w:jc w:val="both"/>
        <w:spacing w:after="0" w:line="277" w:lineRule="auto"/>
        <w:rPr>
          <w:sz w:val="20"/>
          <w:szCs w:val="20"/>
          <w:color w:val="auto"/>
        </w:rPr>
      </w:pPr>
      <w:r>
        <w:rPr>
          <w:rFonts w:ascii="Times New Roman" w:cs="Times New Roman" w:eastAsia="Times New Roman" w:hAnsi="Times New Roman"/>
          <w:sz w:val="20"/>
          <w:szCs w:val="20"/>
          <w:color w:val="auto"/>
        </w:rPr>
        <w:t xml:space="preserve">which sets forth the procedures and conditions for such recommendations. This policy is available through our website at </w:t>
      </w:r>
      <w:r>
        <w:rPr>
          <w:rFonts w:ascii="Times New Roman" w:cs="Times New Roman" w:eastAsia="Times New Roman" w:hAnsi="Times New Roman"/>
          <w:sz w:val="20"/>
          <w:szCs w:val="20"/>
          <w:u w:val="single" w:color="auto"/>
          <w:color w:val="auto"/>
        </w:rPr>
        <w:t>www.microbotmedical.com</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Oversight and Qualifications</w:t>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Code of Business Conduct and Ethics and Compensation Recovery</w:t>
      </w:r>
    </w:p>
    <w:p>
      <w:pPr>
        <w:spacing w:after="0" w:line="2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We have adopted a Code of Ethics and Conduct that applies to all of our directors, officers, employees, and consultants. A copy of our code of ethics is posted on our website at </w:t>
      </w:r>
      <w:r>
        <w:rPr>
          <w:rFonts w:ascii="Times New Roman" w:cs="Times New Roman" w:eastAsia="Times New Roman" w:hAnsi="Times New Roman"/>
          <w:sz w:val="20"/>
          <w:szCs w:val="20"/>
          <w:u w:val="single" w:color="auto"/>
          <w:color w:val="auto"/>
        </w:rPr>
        <w:t>www.microbotmedical.com</w:t>
      </w:r>
      <w:r>
        <w:rPr>
          <w:rFonts w:ascii="Times New Roman" w:cs="Times New Roman" w:eastAsia="Times New Roman" w:hAnsi="Times New Roman"/>
          <w:sz w:val="20"/>
          <w:szCs w:val="20"/>
          <w:color w:val="auto"/>
        </w:rPr>
        <w:t xml:space="preserve"> and is filed as Exhibit 14.1 to this Form 10-K. We intend to disclose any substantive amendment or waivers to this code on our website. There were no substantive amendments or waivers to this code in 2025.</w:t>
      </w:r>
    </w:p>
    <w:p>
      <w:pPr>
        <w:spacing w:after="0" w:line="184"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In the fourth quarter of 2023, the Company adopted a clawback policy which implements the incentive-based compensation recovery provisions of the Dodd -Frank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Section 16(a) Reports</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2025, all Section 16(a) filing requirements applicable to our officers, directors and greater than 10% beneficial owners have been met.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Insider Trading Policy</w:t>
      </w:r>
    </w:p>
    <w:p>
      <w:pPr>
        <w:spacing w:after="0" w:line="2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has adopted insider trading policies and procedures governing the purchase, sale, and/or other dispositions of its securities by directors, officers and employees, or the Company itself, that are reasonably designed to promote compliance with insider trading laws, rules and regulations, and any listing standards applicable to the Company. Such policies and procedures are filed as Exhibit 19.2 to this Form 10-K, and are also included in the Company’s Code of Ethics and Conducts, which is filed as Exhibit 14.1 to this Form 10-K, and in its Blackout Period and Trading Window Policy, which is filed as Exhibit 19.1 to this Form 10-K.</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1421" w:right="1440" w:bottom="45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auto"/>
        </w:rPr>
        <w:t xml:space="preserve">Item 11. </w:t>
      </w:r>
      <w:r>
        <w:rPr>
          <w:rFonts w:ascii="Times New Roman" w:cs="Times New Roman" w:eastAsia="Times New Roman" w:hAnsi="Times New Roman"/>
          <w:sz w:val="20"/>
          <w:szCs w:val="20"/>
          <w:b w:val="1"/>
          <w:bCs w:val="1"/>
          <w:u w:val="single" w:color="auto"/>
          <w:color w:val="auto"/>
        </w:rPr>
        <w:t>Executive Compensation.</w:t>
      </w:r>
    </w:p>
    <w:p>
      <w:pPr>
        <w:spacing w:after="0" w:line="23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following table sets forth information regarding each element of compensation that was paid or awarded to the named executive officers of the Company for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Non-Equity</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00" w:type="dxa"/>
            <w:vAlign w:val="bottom"/>
          </w:tcPr>
          <w:p>
            <w:pPr>
              <w:spacing w:after="0"/>
              <w:rPr>
                <w:sz w:val="20"/>
                <w:szCs w:val="20"/>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Option</w:t>
            </w:r>
          </w:p>
        </w:tc>
        <w:tc>
          <w:tcPr>
            <w:tcW w:w="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Incentive Plan</w:t>
            </w:r>
          </w:p>
        </w:tc>
        <w:tc>
          <w:tcPr>
            <w:tcW w:w="100" w:type="dxa"/>
            <w:vAlign w:val="bottom"/>
          </w:tcPr>
          <w:p>
            <w:pPr>
              <w:spacing w:after="0"/>
              <w:rPr>
                <w:sz w:val="20"/>
                <w:szCs w:val="20"/>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All Other</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1680" w:type="dxa"/>
            <w:vAlign w:val="bottom"/>
          </w:tcPr>
          <w:p>
            <w:pPr>
              <w:ind w:left="400"/>
              <w:spacing w:after="0" w:line="229" w:lineRule="exact"/>
              <w:rPr>
                <w:sz w:val="20"/>
                <w:szCs w:val="20"/>
                <w:color w:val="auto"/>
              </w:rPr>
            </w:pPr>
            <w:r>
              <w:rPr>
                <w:rFonts w:ascii="Times New Roman" w:cs="Times New Roman" w:eastAsia="Times New Roman" w:hAnsi="Times New Roman"/>
                <w:sz w:val="20"/>
                <w:szCs w:val="20"/>
                <w:b w:val="1"/>
                <w:bCs w:val="1"/>
                <w:color w:val="auto"/>
              </w:rPr>
              <w:t>Name and</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60"/>
              <w:spacing w:after="0" w:line="229" w:lineRule="exact"/>
              <w:rPr>
                <w:sz w:val="20"/>
                <w:szCs w:val="20"/>
                <w:color w:val="auto"/>
              </w:rPr>
            </w:pPr>
            <w:r>
              <w:rPr>
                <w:rFonts w:ascii="Times New Roman" w:cs="Times New Roman" w:eastAsia="Times New Roman" w:hAnsi="Times New Roman"/>
                <w:sz w:val="20"/>
                <w:szCs w:val="20"/>
                <w:b w:val="1"/>
                <w:bCs w:val="1"/>
                <w:color w:val="auto"/>
              </w:rPr>
              <w:t>Salary</w:t>
            </w:r>
          </w:p>
        </w:tc>
        <w:tc>
          <w:tcPr>
            <w:tcW w:w="960" w:type="dxa"/>
            <w:vAlign w:val="bottom"/>
            <w:gridSpan w:val="2"/>
          </w:tcPr>
          <w:p>
            <w:pPr>
              <w:jc w:val="right"/>
              <w:ind w:right="340"/>
              <w:spacing w:after="0" w:line="229" w:lineRule="exact"/>
              <w:rPr>
                <w:sz w:val="20"/>
                <w:szCs w:val="20"/>
                <w:color w:val="auto"/>
              </w:rPr>
            </w:pPr>
            <w:r>
              <w:rPr>
                <w:rFonts w:ascii="Times New Roman" w:cs="Times New Roman" w:eastAsia="Times New Roman" w:hAnsi="Times New Roman"/>
                <w:sz w:val="20"/>
                <w:szCs w:val="20"/>
                <w:b w:val="1"/>
                <w:bCs w:val="1"/>
                <w:color w:val="auto"/>
              </w:rPr>
              <w:t>Bonus</w:t>
            </w:r>
          </w:p>
        </w:tc>
        <w:tc>
          <w:tcPr>
            <w:tcW w:w="68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b w:val="1"/>
                <w:bCs w:val="1"/>
                <w:color w:val="auto"/>
                <w:w w:val="98"/>
              </w:rPr>
              <w:t>Awards</w:t>
            </w:r>
          </w:p>
        </w:tc>
        <w:tc>
          <w:tcPr>
            <w:tcW w:w="100" w:type="dxa"/>
            <w:vAlign w:val="bottom"/>
          </w:tcPr>
          <w:p>
            <w:pPr>
              <w:spacing w:after="0"/>
              <w:rPr>
                <w:sz w:val="19"/>
                <w:szCs w:val="19"/>
                <w:color w:val="auto"/>
              </w:rPr>
            </w:pPr>
          </w:p>
        </w:tc>
        <w:tc>
          <w:tcPr>
            <w:tcW w:w="760" w:type="dxa"/>
            <w:vAlign w:val="bottom"/>
            <w:gridSpan w:val="2"/>
          </w:tcPr>
          <w:p>
            <w:pPr>
              <w:jc w:val="center"/>
              <w:ind w:right="60"/>
              <w:spacing w:after="0" w:line="229" w:lineRule="exact"/>
              <w:rPr>
                <w:sz w:val="20"/>
                <w:szCs w:val="20"/>
                <w:color w:val="auto"/>
              </w:rPr>
            </w:pPr>
            <w:r>
              <w:rPr>
                <w:rFonts w:ascii="Times New Roman" w:cs="Times New Roman" w:eastAsia="Times New Roman" w:hAnsi="Times New Roman"/>
                <w:sz w:val="20"/>
                <w:szCs w:val="20"/>
                <w:b w:val="1"/>
                <w:bCs w:val="1"/>
                <w:color w:val="auto"/>
                <w:w w:val="98"/>
              </w:rPr>
              <w:t>Awards</w:t>
            </w:r>
          </w:p>
        </w:tc>
        <w:tc>
          <w:tcPr>
            <w:tcW w:w="2900" w:type="dxa"/>
            <w:vAlign w:val="bottom"/>
            <w:gridSpan w:val="5"/>
          </w:tcPr>
          <w:p>
            <w:pPr>
              <w:jc w:val="right"/>
              <w:ind w:right="280"/>
              <w:spacing w:after="0" w:line="229" w:lineRule="exact"/>
              <w:rPr>
                <w:sz w:val="20"/>
                <w:szCs w:val="20"/>
                <w:color w:val="auto"/>
              </w:rPr>
            </w:pPr>
            <w:r>
              <w:rPr>
                <w:rFonts w:ascii="Times New Roman" w:cs="Times New Roman" w:eastAsia="Times New Roman" w:hAnsi="Times New Roman"/>
                <w:sz w:val="20"/>
                <w:szCs w:val="20"/>
                <w:b w:val="1"/>
                <w:bCs w:val="1"/>
                <w:color w:val="auto"/>
              </w:rPr>
              <w:t>Compensation Compensation</w:t>
            </w:r>
          </w:p>
        </w:tc>
        <w:tc>
          <w:tcPr>
            <w:tcW w:w="860" w:type="dxa"/>
            <w:vAlign w:val="bottom"/>
            <w:gridSpan w:val="2"/>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Total</w:t>
            </w:r>
          </w:p>
        </w:tc>
      </w:tr>
      <w:tr>
        <w:trPr>
          <w:trHeight w:val="253"/>
        </w:trPr>
        <w:tc>
          <w:tcPr>
            <w:tcW w:w="1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Principal Position</w:t>
            </w:r>
          </w:p>
        </w:tc>
        <w:tc>
          <w:tcPr>
            <w:tcW w:w="60" w:type="dxa"/>
            <w:vAlign w:val="bottom"/>
          </w:tcPr>
          <w:p>
            <w:pPr>
              <w:spacing w:after="0"/>
              <w:rPr>
                <w:sz w:val="21"/>
                <w:szCs w:val="21"/>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4"/>
              </w:rPr>
              <w:t>Year</w:t>
            </w:r>
          </w:p>
        </w:tc>
        <w:tc>
          <w:tcPr>
            <w:tcW w:w="100" w:type="dxa"/>
            <w:vAlign w:val="bottom"/>
          </w:tcPr>
          <w:p>
            <w:pPr>
              <w:spacing w:after="0"/>
              <w:rPr>
                <w:sz w:val="21"/>
                <w:szCs w:val="21"/>
                <w:color w:val="auto"/>
              </w:rPr>
            </w:pPr>
          </w:p>
        </w:tc>
        <w:tc>
          <w:tcPr>
            <w:tcW w:w="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1"/>
                <w:szCs w:val="21"/>
                <w:color w:val="auto"/>
              </w:rPr>
            </w:pPr>
          </w:p>
        </w:tc>
        <w:tc>
          <w:tcPr>
            <w:tcW w:w="7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21"/>
                <w:szCs w:val="21"/>
                <w:color w:val="auto"/>
              </w:rPr>
            </w:pPr>
          </w:p>
        </w:tc>
        <w:tc>
          <w:tcPr>
            <w:tcW w:w="12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w:t>
            </w:r>
          </w:p>
        </w:tc>
        <w:tc>
          <w:tcPr>
            <w:tcW w:w="280" w:type="dxa"/>
            <w:vAlign w:val="bottom"/>
          </w:tcPr>
          <w:p>
            <w:pPr>
              <w:spacing w:after="0"/>
              <w:rPr>
                <w:sz w:val="21"/>
                <w:szCs w:val="21"/>
                <w:color w:val="auto"/>
              </w:rPr>
            </w:pPr>
          </w:p>
        </w:tc>
        <w:tc>
          <w:tcPr>
            <w:tcW w:w="8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21"/>
                <w:szCs w:val="21"/>
                <w:color w:val="auto"/>
              </w:rPr>
            </w:pPr>
          </w:p>
        </w:tc>
      </w:tr>
      <w:tr>
        <w:trPr>
          <w:trHeight w:val="442"/>
        </w:trPr>
        <w:tc>
          <w:tcPr>
            <w:tcW w:w="1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Harel Gadot</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9"/>
              </w:rPr>
              <w:t>2025</w:t>
            </w:r>
          </w:p>
        </w:tc>
        <w:tc>
          <w:tcPr>
            <w:tcW w:w="10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552,892</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705,952(4)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350,701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55,400(3)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1,664,945</w:t>
            </w:r>
          </w:p>
        </w:tc>
      </w:tr>
      <w:tr>
        <w:trPr>
          <w:trHeight w:val="230"/>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CEO, President &amp;</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5"/>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Chairman</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9"/>
              </w:rPr>
              <w:t>2024</w:t>
            </w:r>
          </w:p>
        </w:tc>
        <w:tc>
          <w:tcPr>
            <w:tcW w:w="100" w:type="dxa"/>
            <w:vAlign w:val="bottom"/>
          </w:tcPr>
          <w:p>
            <w:pPr>
              <w:spacing w:after="0"/>
              <w:rPr>
                <w:sz w:val="23"/>
                <w:szCs w:val="23"/>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520,249</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149,189(2)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514,141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57,900(3) 1,241,479</w:t>
            </w:r>
          </w:p>
        </w:tc>
      </w:tr>
      <w:tr>
        <w:trPr>
          <w:trHeight w:val="425"/>
        </w:trPr>
        <w:tc>
          <w:tcPr>
            <w:tcW w:w="1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Simon Sharon</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9"/>
              </w:rPr>
              <w:t>2025</w:t>
            </w:r>
          </w:p>
        </w:tc>
        <w:tc>
          <w:tcPr>
            <w:tcW w:w="10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277,006</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145,362(5)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72,874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101,304(9)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596,545</w:t>
            </w:r>
          </w:p>
        </w:tc>
      </w:tr>
      <w:tr>
        <w:trPr>
          <w:trHeight w:val="265"/>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CTO and GM</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9"/>
              </w:rPr>
              <w:t>2024</w:t>
            </w:r>
          </w:p>
        </w:tc>
        <w:tc>
          <w:tcPr>
            <w:tcW w:w="100" w:type="dxa"/>
            <w:vAlign w:val="bottom"/>
          </w:tcPr>
          <w:p>
            <w:pPr>
              <w:spacing w:after="0"/>
              <w:rPr>
                <w:sz w:val="23"/>
                <w:szCs w:val="23"/>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241,455</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84,754(2)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123,785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89,435(9)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539,429</w:t>
            </w:r>
          </w:p>
        </w:tc>
      </w:tr>
      <w:tr>
        <w:trPr>
          <w:trHeight w:val="424"/>
        </w:trPr>
        <w:tc>
          <w:tcPr>
            <w:tcW w:w="1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Juan Diaz-Cartelle</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9"/>
              </w:rPr>
              <w:t>2025</w:t>
            </w:r>
          </w:p>
        </w:tc>
        <w:tc>
          <w:tcPr>
            <w:tcW w:w="10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364,808</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105,000(6)</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34,504</w:t>
            </w: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27,600(8)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531,912</w:t>
            </w:r>
          </w:p>
        </w:tc>
      </w:tr>
      <w:tr>
        <w:trPr>
          <w:trHeight w:val="265"/>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CMO</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9"/>
              </w:rPr>
              <w:t>2024</w:t>
            </w:r>
          </w:p>
        </w:tc>
        <w:tc>
          <w:tcPr>
            <w:tcW w:w="100" w:type="dxa"/>
            <w:vAlign w:val="bottom"/>
          </w:tcPr>
          <w:p>
            <w:pPr>
              <w:spacing w:after="0"/>
              <w:rPr>
                <w:sz w:val="23"/>
                <w:szCs w:val="23"/>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350,000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26,478</w:t>
            </w: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376,478</w:t>
            </w:r>
          </w:p>
        </w:tc>
      </w:tr>
      <w:tr>
        <w:trPr>
          <w:trHeight w:val="423"/>
        </w:trPr>
        <w:tc>
          <w:tcPr>
            <w:tcW w:w="16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Rachel Vaknin</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9"/>
              </w:rPr>
              <w:t>2025</w:t>
            </w:r>
          </w:p>
        </w:tc>
        <w:tc>
          <w:tcPr>
            <w:tcW w:w="10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207,772</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88,736(4)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63,915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79,572(9)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439,995</w:t>
            </w:r>
          </w:p>
        </w:tc>
      </w:tr>
      <w:tr>
        <w:trPr>
          <w:trHeight w:val="230"/>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CFO</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9"/>
              </w:rPr>
              <w:t>2024</w:t>
            </w:r>
          </w:p>
        </w:tc>
        <w:tc>
          <w:tcPr>
            <w:tcW w:w="10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162,793</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40,816(2)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105,862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53,694(9)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363,165</w:t>
            </w:r>
          </w:p>
        </w:tc>
      </w:tr>
      <w:tr>
        <w:trPr>
          <w:trHeight w:val="265"/>
        </w:trPr>
        <w:tc>
          <w:tcPr>
            <w:tcW w:w="1680" w:type="dxa"/>
            <w:vAlign w:val="bottom"/>
          </w:tcPr>
          <w:p>
            <w:pPr>
              <w:spacing w:after="0"/>
              <w:rPr>
                <w:sz w:val="20"/>
                <w:szCs w:val="20"/>
                <w:color w:val="auto"/>
              </w:rPr>
            </w:pPr>
            <w:r>
              <w:rPr>
                <w:rFonts w:ascii="Times New Roman" w:cs="Times New Roman" w:eastAsia="Times New Roman" w:hAnsi="Times New Roman"/>
                <w:sz w:val="20"/>
                <w:szCs w:val="20"/>
                <w:color w:val="auto"/>
              </w:rPr>
              <w:t>__________</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jc w:val="both"/>
        <w:ind w:left="360" w:hanging="360"/>
        <w:spacing w:after="0" w:line="242"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11 to the Consolidated Financial Statements of the Company for the fiscal year ended December 31, 2025 included elsewhere in this Annual Report on Form 10-K for the fiscal year ended December 31, 2025.</w:t>
      </w:r>
    </w:p>
    <w:p>
      <w:pPr>
        <w:spacing w:after="0" w:line="5" w:lineRule="exact"/>
        <w:rPr>
          <w:rFonts w:ascii="Times New Roman" w:cs="Times New Roman" w:eastAsia="Times New Roman" w:hAnsi="Times New Roman"/>
          <w:sz w:val="20"/>
          <w:szCs w:val="20"/>
          <w:color w:val="auto"/>
        </w:rPr>
      </w:pPr>
    </w:p>
    <w:p>
      <w:pPr>
        <w:ind w:left="360" w:hanging="360"/>
        <w:spacing w:after="0" w:line="237"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bonus for the 2023 fiscal year, which amount was actually paid in 2024.</w:t>
      </w:r>
    </w:p>
    <w:p>
      <w:pPr>
        <w:ind w:left="360" w:hanging="360"/>
        <w:spacing w:after="0"/>
        <w:tabs>
          <w:tab w:leader="none" w:pos="35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Compensation includes contributions to the named executive officer’s 401(k) Plan, and a yearly automobile allowance.</w:t>
      </w:r>
    </w:p>
    <w:p>
      <w:pPr>
        <w:spacing w:after="0" w:line="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bonus of $397,837 for the 2024 fiscal year, which amount was actually paid in 2025, plus one-time bonuses aggregating $308,115.</w:t>
      </w:r>
    </w:p>
    <w:p>
      <w:pPr>
        <w:ind w:left="360" w:hanging="360"/>
        <w:spacing w:after="0" w:line="239" w:lineRule="auto"/>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bonus $85,335 for the 2024 fiscal year, which amount was actually paid in 2025 , plus a one-time bonus of $60,027.</w:t>
      </w:r>
    </w:p>
    <w:p>
      <w:pPr>
        <w:ind w:left="360" w:hanging="360"/>
        <w:spacing w:after="0"/>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bonus for the 2024 fiscal year, which amount was actually paid in 2025.</w:t>
      </w:r>
    </w:p>
    <w:p>
      <w:pPr>
        <w:ind w:left="360" w:hanging="360"/>
        <w:spacing w:after="0"/>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bonus of $57,534 for the 2024 fiscal year, which amount was actually paid in 2025, plus a one-time bonus of $31,202.</w:t>
      </w:r>
    </w:p>
    <w:p>
      <w:pPr>
        <w:ind w:left="360" w:hanging="360"/>
        <w:spacing w:after="0"/>
        <w:tabs>
          <w:tab w:leader="none" w:pos="3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Compensation includes contributions to the named executive officer’s 401(k) Plan.</w:t>
      </w:r>
    </w:p>
    <w:p>
      <w:pPr>
        <w:jc w:val="both"/>
        <w:ind w:left="360" w:hanging="360"/>
        <w:spacing w:after="0" w:line="243" w:lineRule="auto"/>
        <w:tabs>
          <w:tab w:leader="none" w:pos="35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Compensation includes contributions or payments to the named executive officer’s convalescence pay, pension fund, work disability insurance, severance fund, education fund, and social security, and yearly automobile allowance.</w:t>
      </w:r>
    </w:p>
    <w:p>
      <w:pPr>
        <w:sectPr>
          <w:pgSz w:w="12240" w:h="15840" w:orient="portrait"/>
          <w:cols w:equalWidth="0" w:num="1">
            <w:col w:w="9360"/>
          </w:cols>
          <w:pgMar w:left="1440" w:top="1417"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1417" w:right="1440" w:bottom="45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Year-End</w:t>
      </w:r>
    </w:p>
    <w:p>
      <w:pPr>
        <w:spacing w:after="0" w:line="23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following table presents the outstanding equity awards held by each of the named executive officers as of the end of the fiscal year ended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20" w:type="dxa"/>
            <w:vAlign w:val="bottom"/>
            <w:gridSpan w:val="4"/>
          </w:tcPr>
          <w:p>
            <w:pPr>
              <w:ind w:left="940"/>
              <w:spacing w:after="0"/>
              <w:rPr>
                <w:sz w:val="20"/>
                <w:szCs w:val="20"/>
                <w:color w:val="auto"/>
              </w:rPr>
            </w:pPr>
            <w:r>
              <w:rPr>
                <w:rFonts w:ascii="Times New Roman" w:cs="Times New Roman" w:eastAsia="Times New Roman" w:hAnsi="Times New Roman"/>
                <w:sz w:val="20"/>
                <w:szCs w:val="20"/>
                <w:b w:val="1"/>
                <w:bCs w:val="1"/>
                <w:color w:val="auto"/>
              </w:rPr>
              <w:t>Option Awards</w:t>
            </w: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Stock Awards</w:t>
            </w:r>
          </w:p>
        </w:tc>
        <w:tc>
          <w:tcPr>
            <w:tcW w:w="100" w:type="dxa"/>
            <w:vAlign w:val="bottom"/>
          </w:tcPr>
          <w:p>
            <w:pPr>
              <w:spacing w:after="0"/>
              <w:rPr>
                <w:sz w:val="23"/>
                <w:szCs w:val="2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0" w:type="dxa"/>
            <w:vAlign w:val="bottom"/>
          </w:tcPr>
          <w:p>
            <w:pPr>
              <w:spacing w:after="0"/>
              <w:rPr>
                <w:sz w:val="1"/>
                <w:szCs w:val="1"/>
                <w:color w:val="auto"/>
              </w:rPr>
            </w:pPr>
          </w:p>
        </w:tc>
      </w:tr>
      <w:tr>
        <w:trPr>
          <w:trHeight w:val="206"/>
        </w:trPr>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Incentive</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Incentive</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Plan</w:t>
            </w:r>
          </w:p>
        </w:tc>
        <w:tc>
          <w:tcPr>
            <w:tcW w:w="0" w:type="dxa"/>
            <w:vAlign w:val="bottom"/>
          </w:tcPr>
          <w:p>
            <w:pPr>
              <w:spacing w:after="0"/>
              <w:rPr>
                <w:sz w:val="1"/>
                <w:szCs w:val="1"/>
                <w:color w:val="auto"/>
              </w:rPr>
            </w:pPr>
          </w:p>
        </w:tc>
      </w:tr>
      <w:tr>
        <w:trPr>
          <w:trHeight w:val="228"/>
        </w:trPr>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b w:val="1"/>
                <w:bCs w:val="1"/>
                <w:color w:val="auto"/>
              </w:rPr>
              <w:t>Market</w:t>
            </w:r>
          </w:p>
        </w:tc>
        <w:tc>
          <w:tcPr>
            <w:tcW w:w="100" w:type="dxa"/>
            <w:vAlign w:val="bottom"/>
          </w:tcPr>
          <w:p>
            <w:pPr>
              <w:spacing w:after="0"/>
              <w:rPr>
                <w:sz w:val="19"/>
                <w:szCs w:val="19"/>
                <w:color w:val="auto"/>
              </w:rPr>
            </w:pPr>
          </w:p>
        </w:tc>
        <w:tc>
          <w:tcPr>
            <w:tcW w:w="8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7"/>
              </w:rPr>
              <w:t>Plan</w:t>
            </w:r>
          </w:p>
        </w:tc>
        <w:tc>
          <w:tcPr>
            <w:tcW w:w="100" w:type="dxa"/>
            <w:vAlign w:val="bottom"/>
          </w:tcPr>
          <w:p>
            <w:pPr>
              <w:spacing w:after="0"/>
              <w:rPr>
                <w:sz w:val="19"/>
                <w:szCs w:val="19"/>
                <w:color w:val="auto"/>
              </w:rPr>
            </w:pPr>
          </w:p>
        </w:tc>
        <w:tc>
          <w:tcPr>
            <w:tcW w:w="84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Awards:</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value</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Awards:</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Market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of</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or Payout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of</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Value of</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of</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of</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Unearned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Unearned</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Units</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Shares,</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Shares,</w:t>
            </w:r>
          </w:p>
        </w:tc>
        <w:tc>
          <w:tcPr>
            <w:tcW w:w="0" w:type="dxa"/>
            <w:vAlign w:val="bottom"/>
          </w:tcPr>
          <w:p>
            <w:pPr>
              <w:spacing w:after="0"/>
              <w:rPr>
                <w:sz w:val="1"/>
                <w:szCs w:val="1"/>
                <w:color w:val="auto"/>
              </w:rPr>
            </w:pPr>
          </w:p>
        </w:tc>
      </w:tr>
      <w:tr>
        <w:trPr>
          <w:trHeight w:val="228"/>
        </w:trPr>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100"/>
              <w:spacing w:after="0" w:line="229" w:lineRule="exact"/>
              <w:rPr>
                <w:sz w:val="20"/>
                <w:szCs w:val="20"/>
                <w:color w:val="auto"/>
              </w:rPr>
            </w:pPr>
            <w:r>
              <w:rPr>
                <w:rFonts w:ascii="Times New Roman" w:cs="Times New Roman" w:eastAsia="Times New Roman" w:hAnsi="Times New Roman"/>
                <w:sz w:val="20"/>
                <w:szCs w:val="20"/>
                <w:b w:val="1"/>
                <w:bCs w:val="1"/>
                <w:color w:val="auto"/>
              </w:rPr>
              <w:t>Number of</w:t>
            </w:r>
          </w:p>
        </w:tc>
        <w:tc>
          <w:tcPr>
            <w:tcW w:w="1260" w:type="dxa"/>
            <w:vAlign w:val="bottom"/>
            <w:gridSpan w:val="2"/>
          </w:tcPr>
          <w:p>
            <w:pPr>
              <w:jc w:val="center"/>
              <w:ind w:right="60"/>
              <w:spacing w:after="0" w:line="229" w:lineRule="exact"/>
              <w:rPr>
                <w:sz w:val="20"/>
                <w:szCs w:val="20"/>
                <w:color w:val="auto"/>
              </w:rPr>
            </w:pPr>
            <w:r>
              <w:rPr>
                <w:rFonts w:ascii="Times New Roman" w:cs="Times New Roman" w:eastAsia="Times New Roman" w:hAnsi="Times New Roman"/>
                <w:sz w:val="20"/>
                <w:szCs w:val="20"/>
                <w:b w:val="1"/>
                <w:bCs w:val="1"/>
                <w:color w:val="auto"/>
                <w:w w:val="99"/>
              </w:rPr>
              <w:t>Number of</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b w:val="1"/>
                <w:bCs w:val="1"/>
                <w:color w:val="auto"/>
                <w:w w:val="97"/>
              </w:rPr>
              <w:t>or Units</w:t>
            </w:r>
          </w:p>
        </w:tc>
        <w:tc>
          <w:tcPr>
            <w:tcW w:w="100" w:type="dxa"/>
            <w:vAlign w:val="bottom"/>
          </w:tcPr>
          <w:p>
            <w:pPr>
              <w:spacing w:after="0"/>
              <w:rPr>
                <w:sz w:val="19"/>
                <w:szCs w:val="19"/>
                <w:color w:val="auto"/>
              </w:rPr>
            </w:pPr>
          </w:p>
        </w:tc>
        <w:tc>
          <w:tcPr>
            <w:tcW w:w="6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of</w:t>
            </w:r>
          </w:p>
        </w:tc>
        <w:tc>
          <w:tcPr>
            <w:tcW w:w="100" w:type="dxa"/>
            <w:vAlign w:val="bottom"/>
          </w:tcPr>
          <w:p>
            <w:pPr>
              <w:spacing w:after="0"/>
              <w:rPr>
                <w:sz w:val="19"/>
                <w:szCs w:val="19"/>
                <w:color w:val="auto"/>
              </w:rPr>
            </w:pPr>
          </w:p>
        </w:tc>
        <w:tc>
          <w:tcPr>
            <w:tcW w:w="8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Units or</w:t>
            </w:r>
          </w:p>
        </w:tc>
        <w:tc>
          <w:tcPr>
            <w:tcW w:w="100" w:type="dxa"/>
            <w:vAlign w:val="bottom"/>
          </w:tcPr>
          <w:p>
            <w:pPr>
              <w:spacing w:after="0"/>
              <w:rPr>
                <w:sz w:val="19"/>
                <w:szCs w:val="19"/>
                <w:color w:val="auto"/>
              </w:rPr>
            </w:pPr>
          </w:p>
        </w:tc>
        <w:tc>
          <w:tcPr>
            <w:tcW w:w="84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Units or</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Securities</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Securities</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of Stock</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Other</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Other</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Underlying</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Underlying</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That</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That</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Rights</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Rights</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Unexercised</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Unexercised</w:t>
            </w:r>
          </w:p>
        </w:tc>
        <w:tc>
          <w:tcPr>
            <w:tcW w:w="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Option</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Option</w:t>
            </w: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Have</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Have</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That</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That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Exercise</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Expiration</w:t>
            </w: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Not</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Not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Have Not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Have Not</w:t>
            </w:r>
          </w:p>
        </w:tc>
        <w:tc>
          <w:tcPr>
            <w:tcW w:w="0" w:type="dxa"/>
            <w:vAlign w:val="bottom"/>
          </w:tcPr>
          <w:p>
            <w:pPr>
              <w:spacing w:after="0"/>
              <w:rPr>
                <w:sz w:val="1"/>
                <w:szCs w:val="1"/>
                <w:color w:val="auto"/>
              </w:rPr>
            </w:pPr>
          </w:p>
        </w:tc>
      </w:tr>
      <w:tr>
        <w:trPr>
          <w:trHeight w:val="253"/>
        </w:trPr>
        <w:tc>
          <w:tcPr>
            <w:tcW w:w="15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0"/>
                <w:szCs w:val="20"/>
                <w:b w:val="1"/>
                <w:bCs w:val="1"/>
                <w:color w:val="auto"/>
              </w:rPr>
              <w:t>Name</w:t>
            </w:r>
          </w:p>
        </w:tc>
        <w:tc>
          <w:tcPr>
            <w:tcW w:w="8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Exercisable</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Unexercisable</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Price $</w:t>
            </w:r>
          </w:p>
        </w:tc>
        <w:tc>
          <w:tcPr>
            <w:tcW w:w="12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00" w:type="dxa"/>
            <w:vAlign w:val="bottom"/>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Vested</w:t>
            </w:r>
          </w:p>
        </w:tc>
        <w:tc>
          <w:tcPr>
            <w:tcW w:w="100" w:type="dxa"/>
            <w:vAlign w:val="bottom"/>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Vested</w:t>
            </w:r>
          </w:p>
        </w:tc>
        <w:tc>
          <w:tcPr>
            <w:tcW w:w="100" w:type="dxa"/>
            <w:vAlign w:val="bottom"/>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Vested</w:t>
            </w:r>
          </w:p>
        </w:tc>
        <w:tc>
          <w:tcPr>
            <w:tcW w:w="100" w:type="dxa"/>
            <w:vAlign w:val="bottom"/>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Vested</w:t>
            </w:r>
          </w:p>
        </w:tc>
        <w:tc>
          <w:tcPr>
            <w:tcW w:w="0" w:type="dxa"/>
            <w:vAlign w:val="bottom"/>
          </w:tcPr>
          <w:p>
            <w:pPr>
              <w:spacing w:after="0"/>
              <w:rPr>
                <w:sz w:val="1"/>
                <w:szCs w:val="1"/>
                <w:color w:val="auto"/>
              </w:rPr>
            </w:pPr>
          </w:p>
        </w:tc>
      </w:tr>
      <w:tr>
        <w:trPr>
          <w:trHeight w:val="477"/>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Harel Gadot</w:t>
            </w:r>
          </w:p>
        </w:tc>
        <w:tc>
          <w:tcPr>
            <w:tcW w:w="12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120,847</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15.75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09/14/2027</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193"/>
        </w:trPr>
        <w:tc>
          <w:tcPr>
            <w:tcW w:w="15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166,666</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9.64</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02/25/2030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190,000</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8.48</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02/01/2031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100,000</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6.48</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01/26/2032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160,000</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3.73</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12/21/2032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1500" w:type="dxa"/>
            <w:vAlign w:val="bottom"/>
          </w:tcPr>
          <w:p>
            <w:pPr>
              <w:spacing w:after="0"/>
              <w:rPr>
                <w:sz w:val="19"/>
                <w:szCs w:val="19"/>
                <w:color w:val="auto"/>
              </w:rPr>
            </w:pPr>
          </w:p>
        </w:tc>
        <w:tc>
          <w:tcPr>
            <w:tcW w:w="1240" w:type="dxa"/>
            <w:vAlign w:val="bottom"/>
            <w:gridSpan w:val="3"/>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rPr>
              <w:t>62,000</w:t>
            </w:r>
          </w:p>
        </w:tc>
        <w:tc>
          <w:tcPr>
            <w:tcW w:w="1260" w:type="dxa"/>
            <w:vAlign w:val="bottom"/>
            <w:gridSpan w:val="2"/>
          </w:tcPr>
          <w:p>
            <w:pPr>
              <w:jc w:val="right"/>
              <w:ind w:right="60"/>
              <w:spacing w:after="0" w:line="229" w:lineRule="exact"/>
              <w:rPr>
                <w:sz w:val="20"/>
                <w:szCs w:val="20"/>
                <w:color w:val="auto"/>
              </w:rPr>
            </w:pPr>
            <w:r>
              <w:rPr>
                <w:rFonts w:ascii="Times New Roman" w:cs="Times New Roman" w:eastAsia="Times New Roman" w:hAnsi="Times New Roman"/>
                <w:sz w:val="20"/>
                <w:szCs w:val="20"/>
                <w:color w:val="auto"/>
              </w:rPr>
              <w:t>18,000</w:t>
            </w:r>
          </w:p>
        </w:tc>
        <w:tc>
          <w:tcPr>
            <w:tcW w:w="880" w:type="dxa"/>
            <w:vAlign w:val="bottom"/>
            <w:gridSpan w:val="3"/>
          </w:tcPr>
          <w:p>
            <w:pPr>
              <w:jc w:val="right"/>
              <w:ind w:right="120"/>
              <w:spacing w:after="0" w:line="229" w:lineRule="exact"/>
              <w:rPr>
                <w:sz w:val="20"/>
                <w:szCs w:val="20"/>
                <w:color w:val="auto"/>
              </w:rPr>
            </w:pPr>
            <w:r>
              <w:rPr>
                <w:rFonts w:ascii="Times New Roman" w:cs="Times New Roman" w:eastAsia="Times New Roman" w:hAnsi="Times New Roman"/>
                <w:sz w:val="20"/>
                <w:szCs w:val="20"/>
                <w:color w:val="auto"/>
              </w:rPr>
              <w:t>2.43</w:t>
            </w:r>
          </w:p>
        </w:tc>
        <w:tc>
          <w:tcPr>
            <w:tcW w:w="94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w w:val="98"/>
              </w:rPr>
              <w:t>08/01/2033</w:t>
            </w:r>
          </w:p>
        </w:tc>
        <w:tc>
          <w:tcPr>
            <w:tcW w:w="8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80,000</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1.27</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02/22/2034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50,000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30,000</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1.27</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02/22/2034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79,567</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02/22/2034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12,000</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02/26/2034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Simon Sharon</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74,100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153,900</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2.04</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02/05/2035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1500" w:type="dxa"/>
            <w:vAlign w:val="bottom"/>
            <w:vMerge w:val="continue"/>
          </w:tcPr>
          <w:p>
            <w:pPr>
              <w:spacing w:after="0"/>
              <w:rPr>
                <w:sz w:val="19"/>
                <w:szCs w:val="19"/>
                <w:color w:val="auto"/>
              </w:rPr>
            </w:pPr>
          </w:p>
        </w:tc>
        <w:tc>
          <w:tcPr>
            <w:tcW w:w="1240" w:type="dxa"/>
            <w:vAlign w:val="bottom"/>
            <w:gridSpan w:val="3"/>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rPr>
              <w:t>10,000</w:t>
            </w:r>
          </w:p>
        </w:tc>
        <w:tc>
          <w:tcPr>
            <w:tcW w:w="12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880" w:type="dxa"/>
            <w:vAlign w:val="bottom"/>
            <w:gridSpan w:val="3"/>
          </w:tcPr>
          <w:p>
            <w:pPr>
              <w:jc w:val="right"/>
              <w:ind w:right="120"/>
              <w:spacing w:after="0" w:line="229" w:lineRule="exact"/>
              <w:rPr>
                <w:sz w:val="20"/>
                <w:szCs w:val="20"/>
                <w:color w:val="auto"/>
              </w:rPr>
            </w:pPr>
            <w:r>
              <w:rPr>
                <w:rFonts w:ascii="Times New Roman" w:cs="Times New Roman" w:eastAsia="Times New Roman" w:hAnsi="Times New Roman"/>
                <w:sz w:val="20"/>
                <w:szCs w:val="20"/>
                <w:color w:val="auto"/>
              </w:rPr>
              <w:t>9.00</w:t>
            </w:r>
          </w:p>
        </w:tc>
        <w:tc>
          <w:tcPr>
            <w:tcW w:w="94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w w:val="98"/>
              </w:rPr>
              <w:t>08/13/2028</w:t>
            </w:r>
          </w:p>
        </w:tc>
        <w:tc>
          <w:tcPr>
            <w:tcW w:w="82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14,170</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5.95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08/12/2029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25,000</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6.48</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01/26/2032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32,375</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2,625</w:t>
            </w:r>
          </w:p>
        </w:tc>
        <w:tc>
          <w:tcPr>
            <w:tcW w:w="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3.48</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12/21/2032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13,562</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3,938</w:t>
            </w:r>
          </w:p>
        </w:tc>
        <w:tc>
          <w:tcPr>
            <w:tcW w:w="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2.43</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08/01/2033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1500" w:type="dxa"/>
            <w:vAlign w:val="bottom"/>
          </w:tcPr>
          <w:p>
            <w:pPr>
              <w:spacing w:after="0"/>
              <w:rPr>
                <w:sz w:val="19"/>
                <w:szCs w:val="19"/>
                <w:color w:val="auto"/>
              </w:rPr>
            </w:pPr>
          </w:p>
        </w:tc>
        <w:tc>
          <w:tcPr>
            <w:tcW w:w="1240" w:type="dxa"/>
            <w:vAlign w:val="bottom"/>
            <w:gridSpan w:val="3"/>
          </w:tcPr>
          <w:p>
            <w:pPr>
              <w:jc w:val="right"/>
              <w:ind w:right="100"/>
              <w:spacing w:after="0" w:line="228" w:lineRule="exact"/>
              <w:rPr>
                <w:sz w:val="20"/>
                <w:szCs w:val="20"/>
                <w:color w:val="auto"/>
              </w:rPr>
            </w:pPr>
            <w:r>
              <w:rPr>
                <w:rFonts w:ascii="Times New Roman" w:cs="Times New Roman" w:eastAsia="Times New Roman" w:hAnsi="Times New Roman"/>
                <w:sz w:val="20"/>
                <w:szCs w:val="20"/>
                <w:color w:val="auto"/>
              </w:rPr>
              <w:t>17,500</w:t>
            </w:r>
          </w:p>
        </w:tc>
        <w:tc>
          <w:tcPr>
            <w:tcW w:w="12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880" w:type="dxa"/>
            <w:vAlign w:val="bottom"/>
            <w:gridSpan w:val="3"/>
          </w:tcPr>
          <w:p>
            <w:pPr>
              <w:jc w:val="right"/>
              <w:ind w:right="120"/>
              <w:spacing w:after="0" w:line="228" w:lineRule="exact"/>
              <w:rPr>
                <w:sz w:val="20"/>
                <w:szCs w:val="20"/>
                <w:color w:val="auto"/>
              </w:rPr>
            </w:pPr>
            <w:r>
              <w:rPr>
                <w:rFonts w:ascii="Times New Roman" w:cs="Times New Roman" w:eastAsia="Times New Roman" w:hAnsi="Times New Roman"/>
                <w:sz w:val="20"/>
                <w:szCs w:val="20"/>
                <w:color w:val="auto"/>
              </w:rPr>
              <w:t>1.27</w:t>
            </w:r>
          </w:p>
        </w:tc>
        <w:tc>
          <w:tcPr>
            <w:tcW w:w="94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02/22/2034</w:t>
            </w:r>
          </w:p>
        </w:tc>
        <w:tc>
          <w:tcPr>
            <w:tcW w:w="8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1"/>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10,937</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6,563</w:t>
            </w:r>
          </w:p>
        </w:tc>
        <w:tc>
          <w:tcPr>
            <w:tcW w:w="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1.27</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02/22/2034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8,750</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02/26/2034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14,218</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29,532</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2.04</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02/05/2035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r>
              <w:rPr>
                <w:rFonts w:ascii="Times New Roman" w:cs="Times New Roman" w:eastAsia="Times New Roman" w:hAnsi="Times New Roman"/>
                <w:sz w:val="20"/>
                <w:szCs w:val="20"/>
                <w:color w:val="auto"/>
              </w:rPr>
              <w:t>Rachel Vaknin</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20,000</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6.48</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01/26/2032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10,000</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4.80</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07/18/2032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1500" w:type="dxa"/>
            <w:vAlign w:val="bottom"/>
          </w:tcPr>
          <w:p>
            <w:pPr>
              <w:spacing w:after="0"/>
              <w:rPr>
                <w:sz w:val="19"/>
                <w:szCs w:val="19"/>
                <w:color w:val="auto"/>
              </w:rPr>
            </w:pPr>
          </w:p>
        </w:tc>
        <w:tc>
          <w:tcPr>
            <w:tcW w:w="1240" w:type="dxa"/>
            <w:vAlign w:val="bottom"/>
            <w:gridSpan w:val="3"/>
          </w:tcPr>
          <w:p>
            <w:pPr>
              <w:jc w:val="right"/>
              <w:ind w:right="100"/>
              <w:spacing w:after="0" w:line="228" w:lineRule="exact"/>
              <w:rPr>
                <w:sz w:val="20"/>
                <w:szCs w:val="20"/>
                <w:color w:val="auto"/>
              </w:rPr>
            </w:pPr>
            <w:r>
              <w:rPr>
                <w:rFonts w:ascii="Times New Roman" w:cs="Times New Roman" w:eastAsia="Times New Roman" w:hAnsi="Times New Roman"/>
                <w:sz w:val="20"/>
                <w:szCs w:val="20"/>
                <w:color w:val="auto"/>
              </w:rPr>
              <w:t>13,000</w:t>
            </w:r>
          </w:p>
        </w:tc>
        <w:tc>
          <w:tcPr>
            <w:tcW w:w="12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880" w:type="dxa"/>
            <w:vAlign w:val="bottom"/>
            <w:gridSpan w:val="3"/>
          </w:tcPr>
          <w:p>
            <w:pPr>
              <w:jc w:val="right"/>
              <w:ind w:right="120"/>
              <w:spacing w:after="0" w:line="228" w:lineRule="exact"/>
              <w:rPr>
                <w:sz w:val="20"/>
                <w:szCs w:val="20"/>
                <w:color w:val="auto"/>
              </w:rPr>
            </w:pPr>
            <w:r>
              <w:rPr>
                <w:rFonts w:ascii="Times New Roman" w:cs="Times New Roman" w:eastAsia="Times New Roman" w:hAnsi="Times New Roman"/>
                <w:sz w:val="20"/>
                <w:szCs w:val="20"/>
                <w:color w:val="auto"/>
              </w:rPr>
              <w:t>3.73</w:t>
            </w:r>
          </w:p>
        </w:tc>
        <w:tc>
          <w:tcPr>
            <w:tcW w:w="94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12/21/2032</w:t>
            </w:r>
          </w:p>
        </w:tc>
        <w:tc>
          <w:tcPr>
            <w:tcW w:w="8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1"/>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13,562</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3,938</w:t>
            </w:r>
          </w:p>
        </w:tc>
        <w:tc>
          <w:tcPr>
            <w:tcW w:w="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2.43</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08/01/2033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17,500</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1.27</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02/22/2034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10,937</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6,563</w:t>
            </w:r>
          </w:p>
        </w:tc>
        <w:tc>
          <w:tcPr>
            <w:tcW w:w="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1.27</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02/22/2034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4,375</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02/26/2034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15,640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32,485</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2.04</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02/05/2035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15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w w:val="99"/>
              </w:rPr>
              <w:t>Juan Diaz-Cartelle</w:t>
            </w:r>
          </w:p>
        </w:tc>
        <w:tc>
          <w:tcPr>
            <w:tcW w:w="1240" w:type="dxa"/>
            <w:vAlign w:val="bottom"/>
            <w:gridSpan w:val="3"/>
          </w:tcPr>
          <w:p>
            <w:pPr>
              <w:jc w:val="right"/>
              <w:ind w:right="100"/>
              <w:spacing w:after="0" w:line="228" w:lineRule="exact"/>
              <w:rPr>
                <w:sz w:val="20"/>
                <w:szCs w:val="20"/>
                <w:color w:val="auto"/>
              </w:rPr>
            </w:pPr>
            <w:r>
              <w:rPr>
                <w:rFonts w:ascii="Times New Roman" w:cs="Times New Roman" w:eastAsia="Times New Roman" w:hAnsi="Times New Roman"/>
                <w:sz w:val="20"/>
                <w:szCs w:val="20"/>
                <w:color w:val="auto"/>
              </w:rPr>
              <w:t>17,500</w:t>
            </w:r>
          </w:p>
        </w:tc>
        <w:tc>
          <w:tcPr>
            <w:tcW w:w="1260" w:type="dxa"/>
            <w:vAlign w:val="bottom"/>
            <w:gridSpan w:val="2"/>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7,500</w:t>
            </w:r>
          </w:p>
        </w:tc>
        <w:tc>
          <w:tcPr>
            <w:tcW w:w="880" w:type="dxa"/>
            <w:vAlign w:val="bottom"/>
            <w:gridSpan w:val="3"/>
          </w:tcPr>
          <w:p>
            <w:pPr>
              <w:jc w:val="right"/>
              <w:ind w:right="100"/>
              <w:spacing w:after="0" w:line="228" w:lineRule="exact"/>
              <w:rPr>
                <w:sz w:val="20"/>
                <w:szCs w:val="20"/>
                <w:color w:val="auto"/>
              </w:rPr>
            </w:pPr>
            <w:r>
              <w:rPr>
                <w:rFonts w:ascii="Times New Roman" w:cs="Times New Roman" w:eastAsia="Times New Roman" w:hAnsi="Times New Roman"/>
                <w:sz w:val="20"/>
                <w:szCs w:val="20"/>
                <w:color w:val="auto"/>
              </w:rPr>
              <w:t>1.29</w:t>
            </w:r>
          </w:p>
        </w:tc>
        <w:tc>
          <w:tcPr>
            <w:tcW w:w="94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8"/>
              </w:rPr>
              <w:t>12/01/2033</w:t>
            </w:r>
          </w:p>
        </w:tc>
        <w:tc>
          <w:tcPr>
            <w:tcW w:w="82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1"/>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10,937</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6,563</w:t>
            </w:r>
          </w:p>
        </w:tc>
        <w:tc>
          <w:tcPr>
            <w:tcW w:w="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1.27</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02/22/2034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10,500</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1.25</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02/26/2034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1500" w:type="dxa"/>
            <w:vAlign w:val="bottom"/>
          </w:tcPr>
          <w:p>
            <w:pPr>
              <w:spacing w:after="0"/>
              <w:rPr>
                <w:sz w:val="23"/>
                <w:szCs w:val="23"/>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13,650</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28,350</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2.04</w:t>
            </w: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02/05/2035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-7191375</wp:posOffset>
            </wp:positionV>
            <wp:extent cx="4904105" cy="12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extLst>
                    </a:blip>
                    <a:srcRect/>
                    <a:stretch>
                      <a:fillRect/>
                    </a:stretch>
                  </pic:blipFill>
                  <pic:spPr bwMode="auto">
                    <a:xfrm>
                      <a:off x="0" y="0"/>
                      <a:ext cx="4904105" cy="12065"/>
                    </a:xfrm>
                    <a:prstGeom prst="rect">
                      <a:avLst/>
                    </a:prstGeom>
                    <a:noFill/>
                  </pic:spPr>
                </pic:pic>
              </a:graphicData>
            </a:graphic>
          </wp:anchor>
        </w:drawing>
      </w:r>
    </w:p>
    <w:p>
      <w:pPr>
        <w:sectPr>
          <w:pgSz w:w="12240" w:h="15840" w:orient="portrait"/>
          <w:cols w:equalWidth="0" w:num="1">
            <w:col w:w="9360"/>
          </w:cols>
          <w:pgMar w:left="1440" w:top="1417" w:right="1440" w:bottom="45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1417" w:right="1440" w:bottom="45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20"/>
          <w:szCs w:val="20"/>
          <w:b w:val="1"/>
          <w:bCs w:val="1"/>
          <w:color w:val="auto"/>
        </w:rPr>
        <w:t>Executive Employment Agreements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Harel Gadot Employment Agreement</w:t>
      </w:r>
    </w:p>
    <w:p>
      <w:pPr>
        <w:spacing w:after="0" w:line="2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entered into an employment agreement (the “Gadot Agreement”) with Harel Gadot on November 28, 2016, as amended most recently on January 26, 2022, to serve as the Company’s Chairman of the Board of Directors and Chief Executive Officer, on an indefinite basis subject to the termination provisions described in the Agreement. The salary is reviewed on an annual basis by the Compensation Committee of the Company to determine potential increases, taking into account such performance metrics and criteria as established by Mr. Gadot and the Company. For the fiscal year ending December 31, 2025, Mr. Gadot’s annual salary was $556,972, which was increased by 5% for the fiscal year ending December 31, 2026.</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Mr. Gadot shall also be entitled to receive a target annual cash bonus of up to a maximum amount of 75% of base salary, which maximum amount of $417,729 was paid in 2026 for the 2025 fiscal year. In February 2026, the Compensation Committee authorized the payment to Mr. Gadot of a special bonus in the amount of approximately $140,000.</w:t>
      </w:r>
    </w:p>
    <w:p>
      <w:pPr>
        <w:spacing w:after="0" w:line="1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In February 2025, the Company granted Mr. Gadot an aggregate of 228,000 options vested in accordance with their terms, and in February 2026, the Company granted Mr. Gadot 480,000 options.</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the event Mr. Gadot’s employment is terminated by the Company for cause, Mr. Gadot would be entitled to receive any compensation then due and payable incurred up to the date of termination.</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Rachel Vaknin Employment Agreement</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entered into an employment agreement, dated November 22, 2021, amended as of May 15, 2023, on February 5, 2025 and on February 18, 2026 (as amended, the “Vaknin Agreement”), with Ms. Vaknin,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For the fiscal year ending December 31, 2025, Ms. Vaknin’s annual salary was 720,000 NIS which was increased by 5% for the fiscal year ending December 31, 2026.</w:t>
      </w:r>
    </w:p>
    <w:p>
      <w:pPr>
        <w:sectPr>
          <w:pgSz w:w="12240" w:h="15840" w:orient="portrait"/>
          <w:cols w:equalWidth="0" w:num="1">
            <w:col w:w="9360"/>
          </w:cols>
          <w:pgMar w:left="1440" w:top="1417" w:right="1440" w:bottom="450" w:gutter="0" w:footer="0" w:header="0"/>
        </w:sect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1417" w:right="1440" w:bottom="450" w:gutter="0" w:footer="0" w:header="0"/>
          <w:type w:val="continuous"/>
        </w:sectPr>
      </w:pPr>
    </w:p>
    <w:bookmarkStart w:id="54" w:name="page55"/>
    <w:bookmarkEnd w:id="54"/>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Ms. Vaknin shall also be entitled to receive a target annual cash bonus, based on certain milestones, of up to a maximum amount of 50% (increased from 35% in February 2026) of her annual salary. For the 2025 fiscal year, Ms. Vaknin received a cash bonus of 252,000 NIS (approximately $82,000).</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Ms. Vaknin shall be further entitled to a monthly automobile allowance on amount of NIS 5,000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In February 2025, the Company granted Ms. Vaknin an aggregate of 48,125 options vested in accordance with their terms, and in February 2026, the Company granted Ms. Vaknin 105,000 options.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Either the Company or Ms. Vaknin may terminate the Vaknin Agreement at its discretion at any time by providing the other party with two months prior written notice of termination (the “Advance Notice Period”).</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may terminate the Vaknin Agreement “For Cause” (as defined in the Vaknin Agreement) at any time by written notice without the Advance Notice Period.</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Simon Sharon Employment Agreement</w:t>
      </w:r>
    </w:p>
    <w:p>
      <w:pPr>
        <w:spacing w:after="0" w:line="2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entered into an employment agreement, dated as of March 31, 2018 and amended pursuant to a First Amendment to Employment Agreement dated as of April 19, 2021, as further amended as of May 15, 2023, on February 5, 2025 and on February 18, 2026 (as so amended, the “Sharon Agreement”), with Mr. Sharon, to serve as the Company’s Chief Technology Officer and the General Manager of Microbot Medical Israel, on an indefinite basis subject to the termination provisions described in the Sharon Agreement.</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salary is reviewed on an annual basis by the Compensation Committee of the Company to determine potential increases taking into account such performance metrics and criteria as established by the Company.</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Pursuant to the terms of the Sharon Agreement, for the fiscal year ending December 31, 2025, Mr. Sharon’s annual salary was 960,000 NIS, which was increased by 5% for the fiscal year ending December 31, 2026.</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Mr. Sharon shall also be entitled to receive a target annual cash bonus, based on certain milestones, of up to a maximum amount of 50% of his annual salary (increased from 35% in February 2026). For the 2025 fiscal year, Mr. Sharon received a cash bonus of approximately $109,000.</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In February 2025, the Company granted Mr. Sharon an aggregate of 43,750 options and in February 2026, the Company granted Ms. Sharon 105,000 options.</w:t>
      </w:r>
    </w:p>
    <w:p>
      <w:pPr>
        <w:spacing w:after="0" w:line="19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w:t>
      </w:r>
    </w:p>
    <w:p>
      <w:pPr>
        <w:sectPr>
          <w:pgSz w:w="12240" w:h="15840" w:orient="portrait"/>
          <w:cols w:equalWidth="0" w:num="1">
            <w:col w:w="9360"/>
          </w:cols>
          <w:pgMar w:left="1440" w:top="1440" w:right="1440" w:bottom="450" w:gutter="0" w:footer="0" w:header="0"/>
        </w:sect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1440" w:right="1440" w:bottom="450" w:gutter="0" w:footer="0" w:header="0"/>
          <w:type w:val="continuous"/>
        </w:sectPr>
      </w:pPr>
    </w:p>
    <w:bookmarkStart w:id="55" w:name="page56"/>
    <w:bookmarkEnd w:id="55"/>
    <w:p>
      <w:pPr>
        <w:jc w:val="both"/>
        <w:spacing w:after="0" w:line="277" w:lineRule="auto"/>
        <w:rPr>
          <w:sz w:val="20"/>
          <w:szCs w:val="20"/>
          <w:color w:val="auto"/>
        </w:rPr>
      </w:pPr>
      <w:r>
        <w:rPr>
          <w:rFonts w:ascii="Times New Roman" w:cs="Times New Roman" w:eastAsia="Times New Roman" w:hAnsi="Times New Roman"/>
          <w:sz w:val="20"/>
          <w:szCs w:val="20"/>
          <w:color w:val="auto"/>
        </w:rPr>
        <w:t>sum for disability insurance to insure Mr. Sharon for up to 75% of base salary and overtime payments, and 7.5% of each monthly payment to be allocated to an educational fund.</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Either the Company or Mr. Sharon may terminate the Sharon Agreement without cause (as defined in the Sharon Agreement) by providing the other party with ninety days prior written notice.</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may terminate the Sharon Agreement for cause at any time by written notice without any advance notice.</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Juan Diaz-Cartelle Employment Agreement</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entered into an employment agreement, effective as of December 1, 2023 and as amended on February 5, 2025 and February 18, 2026 (as so amended, the “Diaz-Cartelle Agreement”), with Dr. Diaz-Cartelle, to serve as Chief Medical Officer on an indefinite basis subject to the termination provisions described in the Diaz-Cartelle Agreement. Pursuant to the terms of the Agreement, Dr. Diaz-Cartelle shall receive an annual base salary, which shall be reviewed on an annual basis by the Company’s Compensation Committee, which may provide for increases as it may determine, taking into account such performance metrics and criteria of Dr. Diaz-Cartelle and the Company in its sole discretion. Pursuant to the terms of the Diaz-Cartelle Agreement, for the fiscal year ending December 31, 2025, Dr. Diaz-Cartelle’s annual salary was $367,500, which was increased by 5% for the fiscal year ending December 31, 2026.</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Dr. Diaz-Cartelle shall also be entitled to receive a target annual cash bonus, based on corporate performance factors established and assessed by the Compensation Committee, of up to a maximum amount of 50% (up from 35% in February 2026) of his annual base salary, provided that he is employed by the Company as of December 31st of the year to which the Target Bonus relates in order to receive the Target Bonus. For the 2025 fiscal year, Dr. Diaz-Cartelle received a cash bonus of approximately $128,000.</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Dr. Diaz-Cartelle shall be entitled to receive incentive equity awards on an annual basis at the discretion of the Compensation Committee, and in February 2025, the Company granted Dr. Diaz-Cartelle an aggregate of 42,000 options and in February 2026, the Company granted Dr. Diaz-Cartelle 105,000 options.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 Cartelle Agreement, other than the right to receive any compensation then due and payable to him through to the date of termination.</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Dr. Diaz-Cartelle may terminate the Agreement with “Good Reason” (as defined in the Diaz-Cartelle Agreement) at any time by written notice, subject to the Company’s right to cure as provided in the Diaz-Cartelle Agreement. In the event of the termination of Dr. Diaz -Cartelle’s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1421" w:right="1440" w:bottom="450" w:gutter="0" w:footer="0" w:header="0"/>
          <w:type w:val="continuous"/>
        </w:sectPr>
      </w:pPr>
    </w:p>
    <w:bookmarkStart w:id="56" w:name="page57"/>
    <w:bookmarkEnd w:id="56"/>
    <w:p>
      <w:pPr>
        <w:jc w:val="both"/>
        <w:spacing w:after="0" w:line="277" w:lineRule="auto"/>
        <w:rPr>
          <w:sz w:val="20"/>
          <w:szCs w:val="20"/>
          <w:color w:val="auto"/>
        </w:rPr>
      </w:pPr>
      <w:r>
        <w:rPr>
          <w:rFonts w:ascii="Times New Roman" w:cs="Times New Roman" w:eastAsia="Times New Roman" w:hAnsi="Times New Roman"/>
          <w:sz w:val="20"/>
          <w:szCs w:val="20"/>
          <w:color w:val="auto"/>
        </w:rPr>
        <w:t>the Consolidated Omnibus Budget Reconciliation Act of 1986, as amended, for twelve months from the date of termination for any benefits plan sponsored by the Company.</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 (ii) 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Indemnification Agreements</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Limits on Liability and Indemnification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provide directors and officers insurance for our current directors and officers.</w:t>
      </w:r>
    </w:p>
    <w:p>
      <w:pPr>
        <w:spacing w:after="0" w:line="2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8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b w:val="1"/>
          <w:bCs w:val="1"/>
          <w:color w:val="auto"/>
        </w:rPr>
        <w:t>Disclosure of Policies and Practices Related to the Grant of Equity Awards Close in Time to the Release of Material Nonpublic Information.</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Company does not have any adopted policies and practices on the timing of awards of options in relation to the disclosure of material nonpublic information by the Company. The Company’s Compensation Committee and Board of Directors, as applicable, typically grants options in the first quarter of each fiscal year to the Company’s executive officers and employees, and would typically grants options to independent members of the Board of Directors after each annual meeting of stockholders (which was not followed in 2024, with such options being granted in January 2025, or 2025 with such options being granted in the first quarter of 2026), although such awards are not granted on a predetermined schedule. The board and compensation committee takes material nonpublic information into account when determining the timing and terms of such an award and whether any disclosure of material nonpublic information is timed for the purpose of affecting the value of executive compensation, and will, for instance, delay the grant of awards if material news is expected to be made public based on discussions with management.</w:t>
      </w:r>
    </w:p>
    <w:p>
      <w:pPr>
        <w:spacing w:after="0" w:line="18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The Company, during the last completed fiscal year, did not award options to a named executive officer in the period beginning four business days before the filing of a periodic report on Form 10-Q or Form 10-K, or the filing or</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1421" w:right="1440" w:bottom="450" w:gutter="0" w:footer="0" w:header="0"/>
          <w:type w:val="continuous"/>
        </w:sectPr>
      </w:pPr>
    </w:p>
    <w:bookmarkStart w:id="57" w:name="page58"/>
    <w:bookmarkEnd w:id="57"/>
    <w:p>
      <w:pPr>
        <w:jc w:val="both"/>
        <w:spacing w:after="0" w:line="277" w:lineRule="auto"/>
        <w:rPr>
          <w:sz w:val="20"/>
          <w:szCs w:val="20"/>
          <w:color w:val="auto"/>
        </w:rPr>
      </w:pPr>
      <w:r>
        <w:rPr>
          <w:rFonts w:ascii="Times New Roman" w:cs="Times New Roman" w:eastAsia="Times New Roman" w:hAnsi="Times New Roman"/>
          <w:sz w:val="20"/>
          <w:szCs w:val="20"/>
          <w:color w:val="auto"/>
        </w:rPr>
        <w:t>furnishing of a current report on Form 8-K that discloses material nonpublic information, and ending one business day after the filing or furnishing of such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has an amended compensation package for the non-management members of its Board, pursuant to which, commencing 2026, each such Board member would receive for his or her services $40,000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stock options with an additional grant of stock options each year thereafter. The number of options shall be determined by the Compensation Committee or the Board based on, among other factors, a market competitive percentage of the Corporation’s issued and outstanding shares of common stock from time to time. For the 2025 fiscal year, in March 2026 the independent members of the Board were each granted 20,000 options.</w:t>
      </w:r>
    </w:p>
    <w:p>
      <w:pPr>
        <w:spacing w:after="0" w:line="19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following table summarizes cash and equity-based compensation information for our outside directors, for the year ended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Fees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Nonqualified</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earned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Option</w:t>
            </w:r>
          </w:p>
        </w:tc>
        <w:tc>
          <w:tcPr>
            <w:tcW w:w="10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Non-Equity</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or paid</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00" w:type="dxa"/>
            <w:vAlign w:val="bottom"/>
          </w:tcPr>
          <w:p>
            <w:pPr>
              <w:spacing w:after="0"/>
              <w:rPr>
                <w:sz w:val="20"/>
                <w:szCs w:val="20"/>
                <w:color w:val="auto"/>
              </w:rPr>
            </w:pPr>
          </w:p>
        </w:tc>
        <w:tc>
          <w:tcPr>
            <w:tcW w:w="332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auto"/>
              </w:rPr>
              <w:t>Awards Incentive Plan Compensation</w:t>
            </w:r>
          </w:p>
        </w:tc>
        <w:tc>
          <w:tcPr>
            <w:tcW w:w="100" w:type="dxa"/>
            <w:vAlign w:val="bottom"/>
          </w:tcPr>
          <w:p>
            <w:pPr>
              <w:spacing w:after="0"/>
              <w:rPr>
                <w:sz w:val="20"/>
                <w:szCs w:val="20"/>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All Other</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2120" w:type="dxa"/>
            <w:vAlign w:val="bottom"/>
          </w:tcPr>
          <w:p>
            <w:pPr>
              <w:ind w:left="8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60" w:type="dxa"/>
            <w:vAlign w:val="bottom"/>
          </w:tcPr>
          <w:p>
            <w:pPr>
              <w:spacing w:after="0"/>
              <w:rPr>
                <w:sz w:val="21"/>
                <w:szCs w:val="21"/>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in cash</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5"/>
              </w:rPr>
              <w:t>Awards</w:t>
            </w:r>
          </w:p>
        </w:tc>
        <w:tc>
          <w:tcPr>
            <w:tcW w:w="100" w:type="dxa"/>
            <w:vAlign w:val="bottom"/>
          </w:tcPr>
          <w:p>
            <w:pPr>
              <w:spacing w:after="0"/>
              <w:rPr>
                <w:sz w:val="21"/>
                <w:szCs w:val="21"/>
                <w:color w:val="auto"/>
              </w:rPr>
            </w:pP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(1)</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Earnings</w:t>
            </w: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Compensation</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0"/>
        </w:trPr>
        <w:tc>
          <w:tcPr>
            <w:tcW w:w="2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2"/>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Scott Burell</w:t>
            </w: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$105,000</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$55,557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ind w:left="128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Pr>
          <w:p>
            <w:pPr>
              <w:spacing w:after="0"/>
              <w:rPr>
                <w:sz w:val="24"/>
                <w:szCs w:val="24"/>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$115,557</w:t>
            </w:r>
          </w:p>
        </w:tc>
      </w:tr>
      <w:tr>
        <w:trPr>
          <w:trHeight w:val="230"/>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Martin Madden</w:t>
            </w: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$105,000</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$55,557</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 $115,557</w:t>
            </w:r>
          </w:p>
        </w:tc>
      </w:tr>
      <w:tr>
        <w:trPr>
          <w:trHeight w:val="228"/>
        </w:trPr>
        <w:tc>
          <w:tcPr>
            <w:tcW w:w="21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Prattipati Laxminarain</w:t>
            </w:r>
          </w:p>
        </w:tc>
        <w:tc>
          <w:tcPr>
            <w:tcW w:w="20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rPr>
              <w:t>78,750</w:t>
            </w:r>
          </w:p>
        </w:tc>
        <w:tc>
          <w:tcPr>
            <w:tcW w:w="6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$55,557</w:t>
            </w:r>
          </w:p>
        </w:tc>
        <w:tc>
          <w:tcPr>
            <w:tcW w:w="134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ind w:left="128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Pr>
          <w:p>
            <w:pPr>
              <w:spacing w:after="0"/>
              <w:rPr>
                <w:sz w:val="19"/>
                <w:szCs w:val="19"/>
                <w:color w:val="auto"/>
              </w:rPr>
            </w:pPr>
          </w:p>
        </w:tc>
        <w:tc>
          <w:tcPr>
            <w:tcW w:w="800" w:type="dxa"/>
            <w:vAlign w:val="bottom"/>
            <w:gridSpan w:val="4"/>
          </w:tcPr>
          <w:p>
            <w:pPr>
              <w:jc w:val="right"/>
              <w:spacing w:after="0" w:line="229" w:lineRule="exact"/>
              <w:rPr>
                <w:sz w:val="20"/>
                <w:szCs w:val="20"/>
                <w:color w:val="auto"/>
              </w:rPr>
            </w:pPr>
            <w:r>
              <w:rPr>
                <w:rFonts w:ascii="Times New Roman" w:cs="Times New Roman" w:eastAsia="Times New Roman" w:hAnsi="Times New Roman"/>
                <w:sz w:val="20"/>
                <w:szCs w:val="20"/>
                <w:color w:val="auto"/>
              </w:rPr>
              <w:t>$100,557</w:t>
            </w:r>
          </w:p>
        </w:tc>
      </w:tr>
      <w:tr>
        <w:trPr>
          <w:trHeight w:val="230"/>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Aileen Stockburger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74,500</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$55,557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ind w:left="128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98,107</w:t>
            </w:r>
          </w:p>
        </w:tc>
      </w:tr>
      <w:tr>
        <w:trPr>
          <w:trHeight w:val="230"/>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Tal Wenderow</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70,000</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$55,557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gridSpan w:val="5"/>
          </w:tcPr>
          <w:p>
            <w:pPr>
              <w:ind w:left="1280"/>
              <w:spacing w:after="0"/>
              <w:rPr>
                <w:sz w:val="20"/>
                <w:szCs w:val="20"/>
                <w:color w:val="auto"/>
              </w:rPr>
            </w:pPr>
            <w:r>
              <w:rPr>
                <w:rFonts w:ascii="Times New Roman" w:cs="Times New Roman" w:eastAsia="Times New Roman" w:hAnsi="Times New Roman"/>
                <w:sz w:val="20"/>
                <w:szCs w:val="20"/>
                <w:color w:val="auto"/>
              </w:rPr>
              <w:t>-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95,557</w:t>
            </w:r>
          </w:p>
        </w:tc>
      </w:tr>
      <w:tr>
        <w:trPr>
          <w:trHeight w:val="230"/>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David J. Wilson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52,500</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$29,451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ind w:left="1280"/>
              <w:spacing w:after="0"/>
              <w:rPr>
                <w:sz w:val="20"/>
                <w:szCs w:val="20"/>
                <w:color w:val="auto"/>
              </w:rPr>
            </w:pPr>
            <w:r>
              <w:rPr>
                <w:rFonts w:ascii="Times New Roman" w:cs="Times New Roman" w:eastAsia="Times New Roman" w:hAnsi="Times New Roman"/>
                <w:sz w:val="15"/>
                <w:szCs w:val="15"/>
                <w:color w:val="auto"/>
                <w:w w:val="79"/>
              </w:rPr>
              <w:t>-</w:t>
            </w:r>
          </w:p>
        </w:tc>
        <w:tc>
          <w:tcPr>
            <w:tcW w:w="6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81,951</w:t>
            </w: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0"/>
                <w:szCs w:val="20"/>
                <w:color w:val="auto"/>
              </w:rPr>
              <w:t>__________</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r>
    </w:tbl>
    <w:p>
      <w:pPr>
        <w:jc w:val="both"/>
        <w:ind w:left="360" w:hanging="360"/>
        <w:spacing w:after="0" w:line="241" w:lineRule="auto"/>
        <w:tabs>
          <w:tab w:leader="none" w:pos="3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11 to the Consolidated Financial Statements of the Company included in the Company’s Annual Report on Form 10-K for the fiscal year ended December 31, 2025.</w:t>
      </w:r>
    </w:p>
    <w:p>
      <w:pPr>
        <w:spacing w:after="0" w:line="19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Mr. Gadot received compensation for his services to the Company as set forth under the summary compensation table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Item 12. </w:t>
      </w:r>
      <w:r>
        <w:rPr>
          <w:rFonts w:ascii="Times New Roman" w:cs="Times New Roman" w:eastAsia="Times New Roman" w:hAnsi="Times New Roman"/>
          <w:sz w:val="19"/>
          <w:szCs w:val="19"/>
          <w:b w:val="1"/>
          <w:bCs w:val="1"/>
          <w:u w:val="single" w:color="auto"/>
          <w:color w:val="auto"/>
        </w:rPr>
        <w:t>Security Ownership of Certain Beneficial Owners and Management and Related Stockholder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the number of shares of our common stock beneficially owned, as of March 24, 2026, by</w:t>
      </w:r>
    </w:p>
    <w:p>
      <w:pPr>
        <w:spacing w:after="0" w:line="28" w:lineRule="exact"/>
        <w:rPr>
          <w:sz w:val="20"/>
          <w:szCs w:val="20"/>
          <w:color w:val="auto"/>
        </w:rPr>
      </w:pPr>
    </w:p>
    <w:p>
      <w:pPr>
        <w:jc w:val="both"/>
        <w:spacing w:after="0" w:line="255" w:lineRule="auto"/>
        <w:tabs>
          <w:tab w:leader="none" w:pos="262"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March 24, 2026. We calculated percentage ownership in accordance with the rules of the SEC. The percentage of common stock beneficially owned is based on 67,158,044 shares outstanding as of March 24, 2026. In addition, shares issuable pursuant to options or other convertible securities that may be acquired within 60 days of March 24, 2026 are deemed to be issued and outstanding and have been treated as outstanding in calculating and determining the beneficial ownership and percentage ownership of those persons possessing those securities, but not for any other persons.</w:t>
      </w:r>
    </w:p>
    <w:p>
      <w:pPr>
        <w:spacing w:after="0" w:line="18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w:t>
      </w:r>
    </w:p>
    <w:p>
      <w:pPr>
        <w:sectPr>
          <w:pgSz w:w="12240" w:h="15840" w:orient="portrait"/>
          <w:cols w:equalWidth="0" w:num="1">
            <w:col w:w="9360"/>
          </w:cols>
          <w:pgMar w:left="1440" w:top="1421" w:right="1440" w:bottom="450" w:gutter="0" w:footer="0" w:header="0"/>
        </w:sectPr>
      </w:pP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1421" w:right="1440" w:bottom="450" w:gutter="0" w:footer="0" w:header="0"/>
          <w:type w:val="continuous"/>
        </w:sectPr>
      </w:pPr>
    </w:p>
    <w:bookmarkStart w:id="58" w:name="page59"/>
    <w:bookmarkEnd w:id="58"/>
    <w:p>
      <w:pPr>
        <w:jc w:val="both"/>
        <w:spacing w:after="0" w:line="257" w:lineRule="auto"/>
        <w:rPr>
          <w:sz w:val="20"/>
          <w:szCs w:val="20"/>
          <w:color w:val="auto"/>
        </w:rPr>
      </w:pPr>
      <w:r>
        <w:rPr>
          <w:rFonts w:ascii="Times New Roman" w:cs="Times New Roman" w:eastAsia="Times New Roman" w:hAnsi="Times New Roman"/>
          <w:sz w:val="20"/>
          <w:szCs w:val="20"/>
          <w:color w:val="auto"/>
        </w:rPr>
        <w:t>information provided by such stockholders. Unless otherwise indicated, the address for each director, executive officer and 5% or greater stockholders of the Company listed is: c/o Microbot Medical Inc., 175 Derby St., Bld 27, Hingham, MA 02043.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Percentage of</w:t>
            </w:r>
          </w:p>
        </w:tc>
      </w:tr>
      <w:tr>
        <w:trPr>
          <w:trHeight w:val="230"/>
        </w:trPr>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8"/>
              </w:rPr>
              <w:t>Number of Shares</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Common Stock</w:t>
            </w:r>
          </w:p>
        </w:tc>
      </w:tr>
      <w:tr>
        <w:trPr>
          <w:trHeight w:val="230"/>
        </w:trPr>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Beneficially</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Beneficially</w:t>
            </w:r>
          </w:p>
        </w:tc>
      </w:tr>
      <w:tr>
        <w:trPr>
          <w:trHeight w:val="253"/>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Beneficial Owner</w:t>
            </w:r>
          </w:p>
        </w:tc>
        <w:tc>
          <w:tcPr>
            <w:tcW w:w="18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Owned</w:t>
            </w:r>
          </w:p>
        </w:tc>
        <w:tc>
          <w:tcPr>
            <w:tcW w:w="26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Owned</w:t>
            </w:r>
          </w:p>
        </w:tc>
        <w:tc>
          <w:tcPr>
            <w:tcW w:w="160" w:type="dxa"/>
            <w:vAlign w:val="bottom"/>
          </w:tcPr>
          <w:p>
            <w:pPr>
              <w:spacing w:after="0"/>
              <w:rPr>
                <w:sz w:val="21"/>
                <w:szCs w:val="21"/>
                <w:color w:val="auto"/>
              </w:rPr>
            </w:pPr>
          </w:p>
        </w:tc>
      </w:tr>
      <w:tr>
        <w:trPr>
          <w:trHeight w:val="344"/>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Intracoastal Capital LLC</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6,002,185</w:t>
            </w:r>
          </w:p>
        </w:tc>
        <w:tc>
          <w:tcPr>
            <w:tcW w:w="26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8.20%</w:t>
            </w:r>
          </w:p>
        </w:tc>
      </w:tr>
      <w:tr>
        <w:trPr>
          <w:trHeight w:val="326"/>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Harel Gadot</w:t>
            </w:r>
            <w:r>
              <w:rPr>
                <w:rFonts w:ascii="Times New Roman" w:cs="Times New Roman" w:eastAsia="Times New Roman" w:hAnsi="Times New Roman"/>
                <w:sz w:val="25"/>
                <w:szCs w:val="25"/>
                <w:color w:val="auto"/>
                <w:vertAlign w:val="superscript"/>
              </w:rPr>
              <w:t>(2)(3)</w:t>
            </w:r>
          </w:p>
        </w:tc>
        <w:tc>
          <w:tcPr>
            <w:tcW w:w="20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1,261,127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w:t>
            </w:r>
          </w:p>
        </w:tc>
      </w:tr>
      <w:tr>
        <w:trPr>
          <w:trHeight w:val="230"/>
        </w:trPr>
        <w:tc>
          <w:tcPr>
            <w:tcW w:w="56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Scott Burell</w:t>
            </w:r>
            <w:r>
              <w:rPr>
                <w:rFonts w:ascii="Times New Roman" w:cs="Times New Roman" w:eastAsia="Times New Roman" w:hAnsi="Times New Roman"/>
                <w:sz w:val="25"/>
                <w:szCs w:val="25"/>
                <w:color w:val="auto"/>
                <w:vertAlign w:val="superscript"/>
              </w:rPr>
              <w:t>(3)</w:t>
            </w:r>
          </w:p>
        </w:tc>
        <w:tc>
          <w:tcPr>
            <w:tcW w:w="20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109,316</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r>
      <w:tr>
        <w:trPr>
          <w:trHeight w:val="230"/>
        </w:trPr>
        <w:tc>
          <w:tcPr>
            <w:tcW w:w="56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Martin Madden</w:t>
            </w:r>
            <w:r>
              <w:rPr>
                <w:rFonts w:ascii="Times New Roman" w:cs="Times New Roman" w:eastAsia="Times New Roman" w:hAnsi="Times New Roman"/>
                <w:sz w:val="25"/>
                <w:szCs w:val="25"/>
                <w:color w:val="auto"/>
                <w:vertAlign w:val="superscript"/>
              </w:rPr>
              <w:t>(3)</w:t>
            </w:r>
          </w:p>
        </w:tc>
        <w:tc>
          <w:tcPr>
            <w:tcW w:w="20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109,316</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r>
      <w:tr>
        <w:trPr>
          <w:trHeight w:val="230"/>
        </w:trPr>
        <w:tc>
          <w:tcPr>
            <w:tcW w:w="56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Prattipati Laxminarain</w:t>
            </w:r>
            <w:r>
              <w:rPr>
                <w:rFonts w:ascii="Times New Roman" w:cs="Times New Roman" w:eastAsia="Times New Roman" w:hAnsi="Times New Roman"/>
                <w:sz w:val="25"/>
                <w:szCs w:val="25"/>
                <w:color w:val="auto"/>
                <w:vertAlign w:val="superscript"/>
              </w:rPr>
              <w:t>(3)</w:t>
            </w:r>
          </w:p>
        </w:tc>
        <w:tc>
          <w:tcPr>
            <w:tcW w:w="20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109,316</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r>
      <w:tr>
        <w:trPr>
          <w:trHeight w:val="230"/>
        </w:trPr>
        <w:tc>
          <w:tcPr>
            <w:tcW w:w="56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Aileen Stockburger</w:t>
            </w:r>
            <w:r>
              <w:rPr>
                <w:rFonts w:ascii="Times New Roman" w:cs="Times New Roman" w:eastAsia="Times New Roman" w:hAnsi="Times New Roman"/>
                <w:sz w:val="25"/>
                <w:szCs w:val="25"/>
                <w:color w:val="auto"/>
                <w:vertAlign w:val="superscript"/>
              </w:rPr>
              <w:t>(3)</w:t>
            </w:r>
          </w:p>
        </w:tc>
        <w:tc>
          <w:tcPr>
            <w:tcW w:w="20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104,220</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r>
      <w:tr>
        <w:trPr>
          <w:trHeight w:val="228"/>
        </w:trPr>
        <w:tc>
          <w:tcPr>
            <w:tcW w:w="56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Simon Sharon</w:t>
            </w:r>
            <w:r>
              <w:rPr>
                <w:rFonts w:ascii="Times New Roman" w:cs="Times New Roman" w:eastAsia="Times New Roman" w:hAnsi="Times New Roman"/>
                <w:sz w:val="25"/>
                <w:szCs w:val="25"/>
                <w:color w:val="auto"/>
                <w:vertAlign w:val="superscript"/>
              </w:rPr>
              <w:t>(3)</w:t>
            </w:r>
          </w:p>
        </w:tc>
        <w:tc>
          <w:tcPr>
            <w:tcW w:w="2020" w:type="dxa"/>
            <w:vAlign w:val="bottom"/>
            <w:gridSpan w:val="3"/>
          </w:tcPr>
          <w:p>
            <w:pPr>
              <w:jc w:val="right"/>
              <w:ind w:right="260"/>
              <w:spacing w:after="0" w:line="229" w:lineRule="exact"/>
              <w:rPr>
                <w:sz w:val="20"/>
                <w:szCs w:val="20"/>
                <w:color w:val="auto"/>
              </w:rPr>
            </w:pPr>
            <w:r>
              <w:rPr>
                <w:rFonts w:ascii="Times New Roman" w:cs="Times New Roman" w:eastAsia="Times New Roman" w:hAnsi="Times New Roman"/>
                <w:sz w:val="20"/>
                <w:szCs w:val="20"/>
                <w:color w:val="auto"/>
              </w:rPr>
              <w:t>155,044</w:t>
            </w:r>
          </w:p>
        </w:tc>
        <w:tc>
          <w:tcPr>
            <w:tcW w:w="15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r>
      <w:tr>
        <w:trPr>
          <w:trHeight w:val="230"/>
        </w:trPr>
        <w:tc>
          <w:tcPr>
            <w:tcW w:w="56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Tal Wenderow</w:t>
            </w:r>
            <w:r>
              <w:rPr>
                <w:rFonts w:ascii="Times New Roman" w:cs="Times New Roman" w:eastAsia="Times New Roman" w:hAnsi="Times New Roman"/>
                <w:sz w:val="25"/>
                <w:szCs w:val="25"/>
                <w:color w:val="auto"/>
                <w:vertAlign w:val="superscript"/>
              </w:rPr>
              <w:t>(3)</w:t>
            </w:r>
          </w:p>
        </w:tc>
        <w:tc>
          <w:tcPr>
            <w:tcW w:w="20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102,629</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r>
      <w:tr>
        <w:trPr>
          <w:trHeight w:val="230"/>
        </w:trPr>
        <w:tc>
          <w:tcPr>
            <w:tcW w:w="56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Rachel Vaknin</w:t>
            </w:r>
            <w:r>
              <w:rPr>
                <w:rFonts w:ascii="Times New Roman" w:cs="Times New Roman" w:eastAsia="Times New Roman" w:hAnsi="Times New Roman"/>
                <w:sz w:val="25"/>
                <w:szCs w:val="25"/>
                <w:color w:val="auto"/>
                <w:vertAlign w:val="superscript"/>
              </w:rPr>
              <w:t>(3)</w:t>
            </w:r>
          </w:p>
        </w:tc>
        <w:tc>
          <w:tcPr>
            <w:tcW w:w="20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111,249</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r>
      <w:tr>
        <w:trPr>
          <w:trHeight w:val="230"/>
        </w:trPr>
        <w:tc>
          <w:tcPr>
            <w:tcW w:w="56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Juan Diaz-Cartelle</w:t>
            </w:r>
            <w:r>
              <w:rPr>
                <w:rFonts w:ascii="Times New Roman" w:cs="Times New Roman" w:eastAsia="Times New Roman" w:hAnsi="Times New Roman"/>
                <w:sz w:val="25"/>
                <w:szCs w:val="25"/>
                <w:color w:val="auto"/>
                <w:vertAlign w:val="superscript"/>
              </w:rPr>
              <w:t>(3)</w:t>
            </w:r>
          </w:p>
        </w:tc>
        <w:tc>
          <w:tcPr>
            <w:tcW w:w="20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58,925</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r>
      <w:tr>
        <w:trPr>
          <w:trHeight w:val="230"/>
        </w:trPr>
        <w:tc>
          <w:tcPr>
            <w:tcW w:w="5600" w:type="dxa"/>
            <w:vAlign w:val="bottom"/>
          </w:tcPr>
          <w:p>
            <w:pPr>
              <w:spacing w:after="0" w:line="230" w:lineRule="exact"/>
              <w:rPr>
                <w:sz w:val="20"/>
                <w:szCs w:val="20"/>
                <w:color w:val="auto"/>
              </w:rPr>
            </w:pPr>
            <w:r>
              <w:rPr>
                <w:rFonts w:ascii="Times New Roman" w:cs="Times New Roman" w:eastAsia="Times New Roman" w:hAnsi="Times New Roman"/>
                <w:sz w:val="20"/>
                <w:szCs w:val="20"/>
                <w:color w:val="auto"/>
              </w:rPr>
              <w:t>David J. Wilson</w:t>
            </w:r>
            <w:r>
              <w:rPr>
                <w:rFonts w:ascii="Times New Roman" w:cs="Times New Roman" w:eastAsia="Times New Roman" w:hAnsi="Times New Roman"/>
                <w:sz w:val="25"/>
                <w:szCs w:val="25"/>
                <w:color w:val="auto"/>
                <w:vertAlign w:val="superscript"/>
              </w:rPr>
              <w:t>(3)</w:t>
            </w:r>
          </w:p>
        </w:tc>
        <w:tc>
          <w:tcPr>
            <w:tcW w:w="20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20,000</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r>
      <w:tr>
        <w:trPr>
          <w:trHeight w:val="228"/>
        </w:trPr>
        <w:tc>
          <w:tcPr>
            <w:tcW w:w="56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All current directors and executive officers as a group (10 persons)</w:t>
            </w:r>
            <w:r>
              <w:rPr>
                <w:rFonts w:ascii="Times New Roman" w:cs="Times New Roman" w:eastAsia="Times New Roman" w:hAnsi="Times New Roman"/>
                <w:sz w:val="25"/>
                <w:szCs w:val="25"/>
                <w:color w:val="auto"/>
                <w:vertAlign w:val="superscript"/>
              </w:rPr>
              <w:t>(4)</w:t>
            </w:r>
          </w:p>
        </w:tc>
        <w:tc>
          <w:tcPr>
            <w:tcW w:w="2020" w:type="dxa"/>
            <w:vAlign w:val="bottom"/>
            <w:gridSpan w:val="3"/>
          </w:tcPr>
          <w:p>
            <w:pPr>
              <w:jc w:val="right"/>
              <w:ind w:right="260"/>
              <w:spacing w:after="0" w:line="229" w:lineRule="exact"/>
              <w:rPr>
                <w:sz w:val="20"/>
                <w:szCs w:val="20"/>
                <w:color w:val="auto"/>
              </w:rPr>
            </w:pPr>
            <w:r>
              <w:rPr>
                <w:rFonts w:ascii="Times New Roman" w:cs="Times New Roman" w:eastAsia="Times New Roman" w:hAnsi="Times New Roman"/>
                <w:sz w:val="20"/>
                <w:szCs w:val="20"/>
                <w:color w:val="auto"/>
              </w:rPr>
              <w:t>2,141,142</w:t>
            </w:r>
          </w:p>
        </w:tc>
        <w:tc>
          <w:tcPr>
            <w:tcW w:w="174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3.10%</w:t>
            </w:r>
          </w:p>
        </w:tc>
      </w:tr>
      <w:tr>
        <w:trPr>
          <w:trHeight w:val="265"/>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__________</w:t>
            </w: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60" w:type="dxa"/>
            <w:vAlign w:val="bottom"/>
          </w:tcPr>
          <w:p>
            <w:pPr>
              <w:spacing w:after="0"/>
              <w:rPr>
                <w:sz w:val="23"/>
                <w:szCs w:val="23"/>
                <w:color w:val="auto"/>
              </w:rPr>
            </w:pPr>
          </w:p>
        </w:tc>
      </w:tr>
    </w:tbl>
    <w:p>
      <w:pPr>
        <w:spacing w:after="0"/>
        <w:rPr>
          <w:sz w:val="20"/>
          <w:szCs w:val="20"/>
          <w:color w:val="auto"/>
        </w:rPr>
      </w:pPr>
      <w:r>
        <w:rPr>
          <w:rFonts w:ascii="Times New Roman" w:cs="Times New Roman" w:eastAsia="Times New Roman" w:hAnsi="Times New Roman"/>
          <w:sz w:val="20"/>
          <w:szCs w:val="20"/>
          <w:color w:val="auto"/>
        </w:rPr>
        <w:t>* Less than 1%.</w:t>
      </w:r>
    </w:p>
    <w:p>
      <w:pPr>
        <w:spacing w:after="0" w:line="17" w:lineRule="exact"/>
        <w:rPr>
          <w:sz w:val="20"/>
          <w:szCs w:val="20"/>
          <w:color w:val="auto"/>
        </w:rPr>
      </w:pPr>
    </w:p>
    <w:p>
      <w:pPr>
        <w:jc w:val="both"/>
        <w:ind w:left="360" w:hanging="360"/>
        <w:spacing w:after="0" w:line="239" w:lineRule="auto"/>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a Schedule 13G filed on January 23, 2026 by Mitchell P. Kopin, Daniel B. Asher and Intracoastal Capital LLC (“Intracoastal” and with Mr. Kopin and Mr. Asher, the “Reporting Persons”), each of the Reporting Persons may have been deemed to have beneficial ownership of 6,002,185 shares of our common stock issuable upon exercise a warrant held by Intracoastal (the “Intracoastal Warrant”) and all such shares of common stock represented beneficial ownership of approximately 8.2% of the Common Stock, based on (1) 67,158,044 shares of Common Stock outstanding as of November 14, 2025, as reported by the Company, plus (2) 6,002,185 shares of Common Stock issuable upon exercise of the Intracoastal Warrant. The principal business office of Mr. Kopin and Intracoastal is 245 Palm Trail, Delray Beach, Florida 33483. The principal business office of Mr. Asher is 1011 Lake Street, Suite 311, Oak Park, Illinois 60301.</w:t>
      </w:r>
    </w:p>
    <w:p>
      <w:pPr>
        <w:spacing w:after="0" w:line="7" w:lineRule="exact"/>
        <w:rPr>
          <w:rFonts w:ascii="Times New Roman" w:cs="Times New Roman" w:eastAsia="Times New Roman" w:hAnsi="Times New Roman"/>
          <w:sz w:val="20"/>
          <w:szCs w:val="20"/>
          <w:color w:val="auto"/>
        </w:rPr>
      </w:pPr>
    </w:p>
    <w:p>
      <w:pPr>
        <w:jc w:val="both"/>
        <w:ind w:left="360" w:hanging="360"/>
        <w:spacing w:after="0" w:line="239" w:lineRule="auto"/>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(i) 136,847 shares of our common stock owned by MEDX Ventures Group LLC, and (ii) 1,124,280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4"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options to acquire shares of our common stock.</w:t>
      </w:r>
    </w:p>
    <w:p>
      <w:pPr>
        <w:ind w:left="360" w:hanging="360"/>
        <w:spacing w:after="0"/>
        <w:tabs>
          <w:tab w:leader="none" w:pos="3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shares of our common stock issuable upon the exercise of options as set forth in footnotes (2) and (3).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13. </w:t>
      </w:r>
      <w:r>
        <w:rPr>
          <w:rFonts w:ascii="Times New Roman" w:cs="Times New Roman" w:eastAsia="Times New Roman" w:hAnsi="Times New Roman"/>
          <w:sz w:val="20"/>
          <w:szCs w:val="20"/>
          <w:b w:val="1"/>
          <w:bCs w:val="1"/>
          <w:u w:val="single" w:color="auto"/>
          <w:color w:val="auto"/>
        </w:rPr>
        <w:t>Certain Relationships and Related Transactions, and Director Independence.</w:t>
      </w:r>
    </w:p>
    <w:p>
      <w:pPr>
        <w:spacing w:after="0" w:line="23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1421" w:right="1440" w:bottom="450" w:gutter="0" w:footer="0" w:header="0"/>
          <w:type w:val="continuous"/>
        </w:sectPr>
      </w:pPr>
    </w:p>
    <w:bookmarkStart w:id="59" w:name="page60"/>
    <w:bookmarkEnd w:id="59"/>
    <w:p>
      <w:pPr>
        <w:jc w:val="both"/>
        <w:spacing w:after="0" w:line="277" w:lineRule="auto"/>
        <w:rPr>
          <w:sz w:val="20"/>
          <w:szCs w:val="20"/>
          <w:color w:val="auto"/>
        </w:rPr>
      </w:pPr>
      <w:r>
        <w:rPr>
          <w:rFonts w:ascii="Times New Roman" w:cs="Times New Roman" w:eastAsia="Times New Roman" w:hAnsi="Times New Roman"/>
          <w:sz w:val="20"/>
          <w:szCs w:val="20"/>
          <w:color w:val="auto"/>
        </w:rPr>
        <w:t>There have been no related party transactions or any other transactions or relationships required to be disclosed pursuant to Item 404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Independence</w:t>
      </w:r>
    </w:p>
    <w:p>
      <w:pPr>
        <w:spacing w:after="0" w:line="23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independent members of our Board are Messrs. Burell, Madden, Laxminarain, Wenderow and Wilson, and Ms.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Stockburger.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14. </w:t>
      </w:r>
      <w:r>
        <w:rPr>
          <w:rFonts w:ascii="Times New Roman" w:cs="Times New Roman" w:eastAsia="Times New Roman" w:hAnsi="Times New Roman"/>
          <w:sz w:val="20"/>
          <w:szCs w:val="20"/>
          <w:b w:val="1"/>
          <w:bCs w:val="1"/>
          <w:u w:val="single" w:color="auto"/>
          <w:color w:val="auto"/>
        </w:rPr>
        <w:t>Principal Accountant Fees and Services.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Audit and Tax Fees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Board, upon the recommendation of the Audit Committee, has selected the independent accounting firm of Brightman Almagor Zohar &amp; Co., a Firm in the Deloitte Global Network, to audit the accounts of the Company for the year ending December 31, 2025.</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Audit Committee considered the tax compliance services provided by Brightman Almagor Zohar &amp; Co. and Deloitte Israel &amp; Co., concluded that provision of such services is compatible with maintaining the independence of the independent accountants, and approved the provision by Brightman Almagor Zohar &amp; Co. of tax compliance services with respect to the year ending December 31, 2025.</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Audit Committee received the following information concerning the fees of the independent accountants for the years ended December 31, 2025 and 2024, has considered whether the provision of these services is compatible with independence of the independent accountants, and concluded that it is: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9"/>
              </w:rPr>
              <w:t>For the Years Ended</w:t>
            </w:r>
          </w:p>
        </w:tc>
        <w:tc>
          <w:tcPr>
            <w:tcW w:w="0" w:type="dxa"/>
            <w:vAlign w:val="bottom"/>
          </w:tcPr>
          <w:p>
            <w:pPr>
              <w:spacing w:after="0"/>
              <w:rPr>
                <w:sz w:val="1"/>
                <w:szCs w:val="1"/>
                <w:color w:val="auto"/>
              </w:rPr>
            </w:pPr>
          </w:p>
        </w:tc>
      </w:tr>
      <w:tr>
        <w:trPr>
          <w:trHeight w:val="253"/>
        </w:trPr>
        <w:tc>
          <w:tcPr>
            <w:tcW w:w="58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center"/>
              <w:ind w:left="6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Audit Fees (1)</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11"/>
        </w:trPr>
        <w:tc>
          <w:tcPr>
            <w:tcW w:w="5800" w:type="dxa"/>
            <w:vAlign w:val="bottom"/>
            <w:vMerge w:val="continue"/>
          </w:tcPr>
          <w:p>
            <w:pPr>
              <w:spacing w:after="0"/>
              <w:rPr>
                <w:sz w:val="18"/>
                <w:szCs w:val="18"/>
                <w:color w:val="auto"/>
              </w:rPr>
            </w:pPr>
          </w:p>
        </w:tc>
        <w:tc>
          <w:tcPr>
            <w:tcW w:w="340" w:type="dxa"/>
            <w:vAlign w:val="bottom"/>
          </w:tcPr>
          <w:p>
            <w:pPr>
              <w:jc w:val="right"/>
              <w:ind w:right="140"/>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150,000</w:t>
            </w:r>
          </w:p>
        </w:tc>
        <w:tc>
          <w:tcPr>
            <w:tcW w:w="280" w:type="dxa"/>
            <w:vAlign w:val="bottom"/>
          </w:tcPr>
          <w:p>
            <w:pPr>
              <w:spacing w:after="0"/>
              <w:rPr>
                <w:sz w:val="18"/>
                <w:szCs w:val="18"/>
                <w:color w:val="auto"/>
              </w:rPr>
            </w:pPr>
          </w:p>
        </w:tc>
        <w:tc>
          <w:tcPr>
            <w:tcW w:w="520" w:type="dxa"/>
            <w:vAlign w:val="bottom"/>
          </w:tcPr>
          <w:p>
            <w:pPr>
              <w:jc w:val="right"/>
              <w:ind w:right="320"/>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150,000</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All Other Fees (2)</w:t>
            </w:r>
          </w:p>
        </w:tc>
        <w:tc>
          <w:tcPr>
            <w:tcW w:w="34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110,000</w:t>
            </w: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0" w:type="dxa"/>
            <w:vAlign w:val="bottom"/>
          </w:tcPr>
          <w:p>
            <w:pPr>
              <w:spacing w:after="0"/>
              <w:rPr>
                <w:sz w:val="1"/>
                <w:szCs w:val="1"/>
                <w:color w:val="auto"/>
              </w:rPr>
            </w:pPr>
          </w:p>
        </w:tc>
      </w:tr>
      <w:tr>
        <w:trPr>
          <w:trHeight w:val="265"/>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__________</w:t>
            </w: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60" w:hanging="360"/>
        <w:spacing w:after="0" w:line="248" w:lineRule="auto"/>
        <w:tabs>
          <w:tab w:leader="none" w:pos="3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 fees represent fees for the audit of our annual consolidated financial statements and reviews of the interim consolidated financial statements, and review of audit-related SEC filings.</w:t>
      </w:r>
    </w:p>
    <w:p>
      <w:pPr>
        <w:ind w:left="360" w:hanging="360"/>
        <w:spacing w:after="0" w:line="248" w:lineRule="auto"/>
        <w:tabs>
          <w:tab w:leader="none" w:pos="35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fees related to issuing Auditor consents and comfort letters, for Registration Statements on Forms S-1 and S-3, and transfer pricing study.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Pre-Approval Policies and Procedures</w:t>
      </w:r>
    </w:p>
    <w:p>
      <w:pPr>
        <w:spacing w:after="0" w:line="2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spacing w:after="0" w:line="18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15. </w:t>
      </w:r>
      <w:r>
        <w:rPr>
          <w:rFonts w:ascii="Times New Roman" w:cs="Times New Roman" w:eastAsia="Times New Roman" w:hAnsi="Times New Roman"/>
          <w:sz w:val="20"/>
          <w:szCs w:val="20"/>
          <w:b w:val="1"/>
          <w:bCs w:val="1"/>
          <w:u w:val="single" w:color="auto"/>
          <w:color w:val="auto"/>
        </w:rPr>
        <w:t>Exhibits and Financial Statement Schedules</w:t>
      </w:r>
    </w:p>
    <w:p>
      <w:pPr>
        <w:spacing w:after="0" w:line="235" w:lineRule="exact"/>
        <w:rPr>
          <w:sz w:val="20"/>
          <w:szCs w:val="20"/>
          <w:color w:val="auto"/>
        </w:rPr>
      </w:pPr>
    </w:p>
    <w:p>
      <w:pPr>
        <w:ind w:left="280" w:hanging="280"/>
        <w:spacing w:after="0"/>
        <w:tabs>
          <w:tab w:leader="none" w:pos="2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Annual Report on Form 10-K:</w:t>
      </w:r>
    </w:p>
    <w:p>
      <w:pPr>
        <w:spacing w:after="0" w:line="2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Financial Statements:</w:t>
      </w:r>
    </w:p>
    <w:p>
      <w:pPr>
        <w:sectPr>
          <w:pgSz w:w="12240" w:h="15840" w:orient="portrait"/>
          <w:cols w:equalWidth="0" w:num="1">
            <w:col w:w="9360"/>
          </w:cols>
          <w:pgMar w:left="1440" w:top="1421" w:right="1440" w:bottom="450" w:gutter="0" w:footer="0" w:header="0"/>
        </w:sect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1421" w:right="1440" w:bottom="450" w:gutter="0" w:footer="0" w:header="0"/>
          <w:type w:val="continuous"/>
        </w:sectPr>
      </w:pPr>
    </w:p>
    <w:bookmarkStart w:id="60" w:name="page61"/>
    <w:bookmarkEnd w:id="60"/>
    <w:p>
      <w:pPr>
        <w:spacing w:after="0" w:line="21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The financial statements are filed as part of this Annual Report on Form 10-K commencing on page F-1 and are hereby incorporated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 Financial Statement Schedules:</w:t>
      </w:r>
    </w:p>
    <w:p>
      <w:pPr>
        <w:spacing w:after="0" w:line="23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The financial statement schedules are omitted as they are either not applicable or the information required is presented in the financial statements and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 Exhibits: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documents set forth below are filed herewith or incorporated by reference to the location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14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3"/>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40" w:type="dxa"/>
            <w:vAlign w:val="bottom"/>
          </w:tcPr>
          <w:p>
            <w:pPr>
              <w:spacing w:after="0"/>
              <w:rPr>
                <w:sz w:val="21"/>
                <w:szCs w:val="21"/>
                <w:color w:val="auto"/>
              </w:rPr>
            </w:pPr>
          </w:p>
        </w:tc>
        <w:tc>
          <w:tcPr>
            <w:tcW w:w="8160" w:type="dxa"/>
            <w:vAlign w:val="bottom"/>
            <w:gridSpan w:val="2"/>
          </w:tcPr>
          <w:p>
            <w:pPr>
              <w:ind w:left="3000"/>
              <w:spacing w:after="0"/>
              <w:rPr>
                <w:sz w:val="20"/>
                <w:szCs w:val="20"/>
                <w:color w:val="auto"/>
              </w:rPr>
            </w:pPr>
            <w:r>
              <w:rPr>
                <w:rFonts w:ascii="Times New Roman" w:cs="Times New Roman" w:eastAsia="Times New Roman" w:hAnsi="Times New Roman"/>
                <w:sz w:val="20"/>
                <w:szCs w:val="20"/>
                <w:b w:val="1"/>
                <w:bCs w:val="1"/>
                <w:color w:val="auto"/>
              </w:rPr>
              <w:t>Description of Document</w:t>
            </w:r>
          </w:p>
        </w:tc>
      </w:tr>
      <w:tr>
        <w:trPr>
          <w:trHeight w:val="211"/>
        </w:trPr>
        <w:tc>
          <w:tcPr>
            <w:tcW w:w="1080" w:type="dxa"/>
            <w:vAlign w:val="bottom"/>
            <w:tcBorders>
              <w:top w:val="single" w:sz="8" w:color="auto"/>
            </w:tcBorders>
          </w:tcPr>
          <w:p>
            <w:pPr>
              <w:jc w:val="center"/>
              <w:spacing w:after="0" w:line="211" w:lineRule="exact"/>
              <w:rPr>
                <w:sz w:val="20"/>
                <w:szCs w:val="20"/>
                <w:color w:val="auto"/>
              </w:rPr>
            </w:pPr>
            <w:r>
              <w:rPr>
                <w:rFonts w:ascii="Times New Roman" w:cs="Times New Roman" w:eastAsia="Times New Roman" w:hAnsi="Times New Roman"/>
                <w:sz w:val="20"/>
                <w:szCs w:val="20"/>
                <w:color w:val="auto"/>
                <w:w w:val="95"/>
              </w:rPr>
              <w:t>2.1</w:t>
            </w:r>
          </w:p>
        </w:tc>
        <w:tc>
          <w:tcPr>
            <w:tcW w:w="140" w:type="dxa"/>
            <w:vAlign w:val="bottom"/>
          </w:tcPr>
          <w:p>
            <w:pPr>
              <w:spacing w:after="0"/>
              <w:rPr>
                <w:sz w:val="18"/>
                <w:szCs w:val="18"/>
                <w:color w:val="auto"/>
              </w:rPr>
            </w:pPr>
          </w:p>
        </w:tc>
        <w:tc>
          <w:tcPr>
            <w:tcW w:w="8140" w:type="dxa"/>
            <w:vAlign w:val="bottom"/>
            <w:tcBorders>
              <w:top w:val="single" w:sz="8" w:color="auto"/>
            </w:tcBorders>
          </w:tcPr>
          <w:p>
            <w:pPr>
              <w:spacing w:after="0" w:line="211" w:lineRule="exact"/>
              <w:rPr>
                <w:sz w:val="20"/>
                <w:szCs w:val="20"/>
                <w:color w:val="auto"/>
              </w:rPr>
            </w:pPr>
            <w:r>
              <w:rPr>
                <w:rFonts w:ascii="Times New Roman" w:cs="Times New Roman" w:eastAsia="Times New Roman" w:hAnsi="Times New Roman"/>
                <w:sz w:val="20"/>
                <w:szCs w:val="20"/>
                <w:color w:val="auto"/>
              </w:rPr>
              <w:t>Agreement and Plan of Merger and Reorganization, dated as of August 15, 2016, by and among</w:t>
            </w:r>
          </w:p>
        </w:tc>
        <w:tc>
          <w:tcPr>
            <w:tcW w:w="2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StemCells, Inc., C&amp;RD Israel Ltd. and Microbot Medical Ltd. (incorporated by reference to the</w:t>
            </w:r>
          </w:p>
        </w:tc>
      </w:tr>
      <w:tr>
        <w:trPr>
          <w:trHeight w:val="230"/>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Company’s Current Report on Form 8-K filed on August 15, 2016).</w:t>
            </w: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Restated Certificate of Incorporation of the Company (incorporated by reference to the Company’s</w:t>
            </w:r>
          </w:p>
        </w:tc>
      </w:tr>
      <w:tr>
        <w:trPr>
          <w:trHeight w:val="230"/>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Annual Report on Form 10-K for the fiscal year ended December 31, 2006 and filed on March 15,</w:t>
            </w:r>
          </w:p>
        </w:tc>
      </w:tr>
      <w:tr>
        <w:trPr>
          <w:trHeight w:val="228"/>
        </w:trPr>
        <w:tc>
          <w:tcPr>
            <w:tcW w:w="1080" w:type="dxa"/>
            <w:vAlign w:val="bottom"/>
          </w:tcPr>
          <w:p>
            <w:pPr>
              <w:spacing w:after="0"/>
              <w:rPr>
                <w:sz w:val="19"/>
                <w:szCs w:val="19"/>
                <w:color w:val="auto"/>
              </w:rPr>
            </w:pPr>
          </w:p>
        </w:tc>
        <w:tc>
          <w:tcPr>
            <w:tcW w:w="8280" w:type="dxa"/>
            <w:vAlign w:val="bottom"/>
            <w:gridSpan w:val="2"/>
          </w:tcPr>
          <w:p>
            <w:pPr>
              <w:ind w:left="140"/>
              <w:spacing w:after="0" w:line="229" w:lineRule="exact"/>
              <w:rPr>
                <w:sz w:val="20"/>
                <w:szCs w:val="20"/>
                <w:color w:val="auto"/>
              </w:rPr>
            </w:pPr>
            <w:r>
              <w:rPr>
                <w:rFonts w:ascii="Times New Roman" w:cs="Times New Roman" w:eastAsia="Times New Roman" w:hAnsi="Times New Roman"/>
                <w:sz w:val="20"/>
                <w:szCs w:val="20"/>
                <w:color w:val="auto"/>
              </w:rPr>
              <w:t>2007).</w:t>
            </w:r>
          </w:p>
        </w:tc>
        <w:tc>
          <w:tcPr>
            <w:tcW w:w="20" w:type="dxa"/>
            <w:vAlign w:val="bottom"/>
          </w:tcPr>
          <w:p>
            <w:pPr>
              <w:spacing w:after="0"/>
              <w:rPr>
                <w:sz w:val="19"/>
                <w:szCs w:val="19"/>
                <w:color w:val="auto"/>
              </w:rPr>
            </w:pP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3.2</w:t>
            </w: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 of Amendment to the Restated Certificate of Incorporation of the Company (incorporated</w:t>
            </w:r>
          </w:p>
        </w:tc>
      </w:tr>
      <w:tr>
        <w:trPr>
          <w:trHeight w:val="230"/>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reference to the Company’s Current Report on Form 8-K filed on November 29, 2016).</w:t>
            </w: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3.3</w:t>
            </w: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 of Amendment to the Restated Certificate of Incorporation (incorporated by reference to</w:t>
            </w:r>
          </w:p>
        </w:tc>
      </w:tr>
      <w:tr>
        <w:trPr>
          <w:trHeight w:val="230"/>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Company’s Current Report on Form 8-K filed on September 4, 2018).</w:t>
            </w: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3.4</w:t>
            </w: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Amended and Restated By-Laws of the Company (incorporated by reference to the Company’s Current</w:t>
            </w:r>
          </w:p>
        </w:tc>
      </w:tr>
      <w:tr>
        <w:trPr>
          <w:trHeight w:val="228"/>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16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Report on Form 8-K filed on May 3, 2016).</w:t>
            </w: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3.5</w:t>
            </w: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 of Elimination (incorporated by reference to the Company’s Current Report on Form 8-K</w:t>
            </w:r>
          </w:p>
        </w:tc>
      </w:tr>
      <w:tr>
        <w:trPr>
          <w:trHeight w:val="230"/>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filed on December 12, 2018).</w:t>
            </w: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3.6</w:t>
            </w: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Certificate of Amendment to the Restated Certificate of Incorporation (incorporated by reference to</w:t>
            </w:r>
          </w:p>
        </w:tc>
      </w:tr>
      <w:tr>
        <w:trPr>
          <w:trHeight w:val="230"/>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 Company’s Current Report on Form 8-K filed on September 11, 2019).</w:t>
            </w: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3.7</w:t>
            </w: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to Section 5 of the Amended and Restated By-Laws of the Company (incorporated by</w:t>
            </w:r>
          </w:p>
        </w:tc>
      </w:tr>
      <w:tr>
        <w:trPr>
          <w:trHeight w:val="228"/>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16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reference to the Company’s Current Report on Form 8-K filed on May 3, 2021).</w:t>
            </w: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3.8</w:t>
            </w: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to Section 2.5 of the Amended and Restated By-Laws of the Company (incorporated by</w:t>
            </w:r>
          </w:p>
        </w:tc>
      </w:tr>
      <w:tr>
        <w:trPr>
          <w:trHeight w:val="230"/>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reference to the Company’s Current Report on Form 8-K filed on April 15, 2025).</w:t>
            </w: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3.9</w:t>
            </w: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Certificate of Amendment to Certificate of Incorporation (incorporated by reference to the Company’s</w:t>
            </w:r>
          </w:p>
        </w:tc>
      </w:tr>
      <w:tr>
        <w:trPr>
          <w:trHeight w:val="230"/>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Current Report on Form 8-K filed on June 11, 2025).</w:t>
            </w: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 of the Company’s Securities (incorporated by reference to the Registrant’s Quarterly</w:t>
            </w:r>
          </w:p>
        </w:tc>
      </w:tr>
      <w:tr>
        <w:trPr>
          <w:trHeight w:val="228"/>
        </w:trPr>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16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Report on Form 10-Q for the fiscal quarter ended June 30, 2025).</w:t>
            </w: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Wainwright Warrant (incorporated by reference to the Registrant’s Current Report on Form</w:t>
            </w:r>
          </w:p>
        </w:tc>
      </w:tr>
      <w:tr>
        <w:trPr>
          <w:trHeight w:val="230"/>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8-K filed on October 25, 2022)</w:t>
            </w: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Wainwright Warrant (incorporated by reference to the Registrant’s Current Report on Form</w:t>
            </w:r>
          </w:p>
        </w:tc>
      </w:tr>
      <w:tr>
        <w:trPr>
          <w:trHeight w:val="230"/>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8-K filed on May 23, 2023)</w:t>
            </w:r>
          </w:p>
        </w:tc>
      </w:tr>
      <w:tr>
        <w:trPr>
          <w:trHeight w:val="228"/>
        </w:trPr>
        <w:tc>
          <w:tcPr>
            <w:tcW w:w="10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5"/>
              </w:rPr>
              <w:t>4.4</w:t>
            </w:r>
          </w:p>
        </w:tc>
        <w:tc>
          <w:tcPr>
            <w:tcW w:w="140" w:type="dxa"/>
            <w:vAlign w:val="bottom"/>
          </w:tcPr>
          <w:p>
            <w:pPr>
              <w:spacing w:after="0"/>
              <w:rPr>
                <w:sz w:val="19"/>
                <w:szCs w:val="19"/>
                <w:color w:val="auto"/>
              </w:rPr>
            </w:pPr>
          </w:p>
        </w:tc>
        <w:tc>
          <w:tcPr>
            <w:tcW w:w="81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Form of Wainwright Warrant (incorporated by reference to the Registrant’s Current Report on Form</w:t>
            </w: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8-K filed on May 24, 2023)</w:t>
            </w: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4.5</w:t>
            </w: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Form of Warrant Amendment Agreement (incorporated by reference to the Registrant’s Current Report</w:t>
            </w:r>
          </w:p>
        </w:tc>
      </w:tr>
      <w:tr>
        <w:trPr>
          <w:trHeight w:val="230"/>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on Form 8-K filed on May 24, 2023)</w:t>
            </w: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4.6</w:t>
            </w: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Wainwright Warrant (incorporated by reference to the Registrant’s Current Report on Form</w:t>
            </w:r>
          </w:p>
        </w:tc>
      </w:tr>
      <w:tr>
        <w:trPr>
          <w:trHeight w:val="230"/>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8-K filed on June 6, 2023)</w:t>
            </w:r>
          </w:p>
        </w:tc>
      </w:tr>
      <w:tr>
        <w:trPr>
          <w:trHeight w:val="228"/>
        </w:trPr>
        <w:tc>
          <w:tcPr>
            <w:tcW w:w="108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5"/>
              </w:rPr>
              <w:t>4.7</w:t>
            </w:r>
          </w:p>
        </w:tc>
        <w:tc>
          <w:tcPr>
            <w:tcW w:w="140" w:type="dxa"/>
            <w:vAlign w:val="bottom"/>
          </w:tcPr>
          <w:p>
            <w:pPr>
              <w:spacing w:after="0"/>
              <w:rPr>
                <w:sz w:val="19"/>
                <w:szCs w:val="19"/>
                <w:color w:val="auto"/>
              </w:rPr>
            </w:pPr>
          </w:p>
        </w:tc>
        <w:tc>
          <w:tcPr>
            <w:tcW w:w="81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Form of Wainwright Warrant (incorporated by reference to the Registrant’s Current Report on Form</w:t>
            </w:r>
          </w:p>
        </w:tc>
      </w:tr>
      <w:tr>
        <w:trPr>
          <w:trHeight w:val="231"/>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8-K filed on June 28, 2023)</w:t>
            </w: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4.8</w:t>
            </w: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Placement Agent Investment Option (incorporated by reference to the Registrant’s Current</w:t>
            </w:r>
          </w:p>
        </w:tc>
      </w:tr>
      <w:tr>
        <w:trPr>
          <w:trHeight w:val="230"/>
        </w:trPr>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Report on Form 8-K filed on January 2, 2024)</w:t>
            </w: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4.9</w:t>
            </w:r>
          </w:p>
        </w:tc>
        <w:tc>
          <w:tcPr>
            <w:tcW w:w="140" w:type="dxa"/>
            <w:vAlign w:val="bottom"/>
          </w:tcPr>
          <w:p>
            <w:pPr>
              <w:spacing w:after="0"/>
              <w:rPr>
                <w:sz w:val="20"/>
                <w:szCs w:val="20"/>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Placement Agent Investment Option (incorporated by reference to the Registrant’s Current</w:t>
            </w:r>
          </w:p>
        </w:tc>
      </w:tr>
      <w:tr>
        <w:trPr>
          <w:trHeight w:val="265"/>
        </w:trPr>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Report on Form 8-K filed on June 4, 2024)</w:t>
            </w:r>
          </w:p>
        </w:tc>
      </w:tr>
    </w:tbl>
    <w:p>
      <w:pPr>
        <w:spacing w:after="0" w:line="200" w:lineRule="exact"/>
        <w:rPr>
          <w:sz w:val="20"/>
          <w:szCs w:val="20"/>
          <w:color w:val="auto"/>
        </w:rPr>
      </w:pPr>
    </w:p>
    <w:p>
      <w:pPr>
        <w:sectPr>
          <w:pgSz w:w="12240" w:h="15840" w:orient="portrait"/>
          <w:cols w:equalWidth="0" w:num="1">
            <w:col w:w="9360"/>
          </w:cols>
          <w:pgMar w:left="1440" w:top="1440" w:right="1440" w:bottom="450" w:gutter="0" w:footer="0" w:header="0"/>
        </w:sect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1440" w:right="1440" w:bottom="450" w:gutter="0" w:footer="0" w:header="0"/>
          <w:type w:val="continuous"/>
        </w:sectPr>
      </w:pPr>
    </w:p>
    <w:bookmarkStart w:id="61" w:name="page62"/>
    <w:bookmarkEnd w:id="61"/>
    <w:p>
      <w:pPr>
        <w:jc w:val="both"/>
        <w:ind w:left="1220" w:hanging="858"/>
        <w:spacing w:after="0" w:line="253" w:lineRule="auto"/>
        <w:tabs>
          <w:tab w:leader="none" w:pos="1200" w:val="left"/>
        </w:tabs>
        <w:rPr>
          <w:sz w:val="20"/>
          <w:szCs w:val="20"/>
          <w:color w:val="auto"/>
        </w:rPr>
      </w:pPr>
      <w:r>
        <w:rPr>
          <w:rFonts w:ascii="Times New Roman" w:cs="Times New Roman" w:eastAsia="Times New Roman" w:hAnsi="Times New Roman"/>
          <w:sz w:val="20"/>
          <w:szCs w:val="20"/>
          <w:color w:val="auto"/>
        </w:rPr>
        <w:t>4.10</w:t>
      </w:r>
      <w:r>
        <w:rPr>
          <w:sz w:val="20"/>
          <w:szCs w:val="20"/>
          <w:color w:val="auto"/>
        </w:rPr>
        <w:tab/>
      </w:r>
      <w:r>
        <w:rPr>
          <w:rFonts w:ascii="Times New Roman" w:cs="Times New Roman" w:eastAsia="Times New Roman" w:hAnsi="Times New Roman"/>
          <w:sz w:val="20"/>
          <w:szCs w:val="20"/>
          <w:color w:val="auto"/>
        </w:rPr>
        <w:t>Form of Placement Agent Investment Option (incorporated by reference to the Registrant’s Current Report on Form 8-K filed on January 7, 2025)</w:t>
      </w:r>
    </w:p>
    <w:p>
      <w:pPr>
        <w:spacing w:after="0" w:line="2" w:lineRule="exact"/>
        <w:rPr>
          <w:sz w:val="20"/>
          <w:szCs w:val="20"/>
          <w:color w:val="auto"/>
        </w:rPr>
      </w:pPr>
    </w:p>
    <w:p>
      <w:pPr>
        <w:jc w:val="both"/>
        <w:ind w:left="1220" w:hanging="858"/>
        <w:spacing w:after="0"/>
        <w:tabs>
          <w:tab w:leader="none" w:pos="120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20"/>
          <w:szCs w:val="20"/>
          <w:color w:val="auto"/>
        </w:rPr>
        <w:t>Form of Placement Agent Investment Option (incorporated by reference to the Registrant’s Current Report on Form 8-K filed on January 10, 2025)</w:t>
      </w:r>
    </w:p>
    <w:p>
      <w:pPr>
        <w:spacing w:after="0" w:line="1" w:lineRule="exact"/>
        <w:rPr>
          <w:sz w:val="20"/>
          <w:szCs w:val="20"/>
          <w:color w:val="auto"/>
        </w:rPr>
      </w:pPr>
    </w:p>
    <w:p>
      <w:pPr>
        <w:ind w:left="1220" w:hanging="1223"/>
        <w:spacing w:after="0"/>
        <w:tabs>
          <w:tab w:leader="none" w:pos="120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20"/>
          <w:szCs w:val="20"/>
          <w:color w:val="auto"/>
        </w:rPr>
        <w:t>Form of Series J Preferred Investment Option (incorporated by reference to the Registrant’s Current Report on Form 8-K filed on September 16, 2025)</w:t>
      </w:r>
    </w:p>
    <w:p>
      <w:pPr>
        <w:spacing w:after="0" w:line="1" w:lineRule="exact"/>
        <w:rPr>
          <w:sz w:val="20"/>
          <w:szCs w:val="20"/>
          <w:color w:val="auto"/>
        </w:rPr>
      </w:pPr>
    </w:p>
    <w:p>
      <w:pPr>
        <w:jc w:val="both"/>
        <w:ind w:left="1220" w:hanging="858"/>
        <w:spacing w:after="0" w:line="239" w:lineRule="auto"/>
        <w:tabs>
          <w:tab w:leader="none" w:pos="120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20"/>
          <w:szCs w:val="20"/>
          <w:color w:val="auto"/>
        </w:rPr>
        <w:t>Form of Placement Agent Investment Option (incorporated by reference to the Registrant’s Current Report on Form 8-K filed on February 11, 2025)</w:t>
      </w:r>
    </w:p>
    <w:p>
      <w:pPr>
        <w:spacing w:after="0" w:line="1" w:lineRule="exact"/>
        <w:rPr>
          <w:sz w:val="20"/>
          <w:szCs w:val="20"/>
          <w:color w:val="auto"/>
        </w:rPr>
      </w:pPr>
    </w:p>
    <w:p>
      <w:pPr>
        <w:jc w:val="both"/>
        <w:ind w:left="1220" w:hanging="858"/>
        <w:spacing w:after="0"/>
        <w:tabs>
          <w:tab w:leader="none" w:pos="120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20"/>
          <w:szCs w:val="20"/>
          <w:color w:val="auto"/>
        </w:rPr>
        <w:t>Form of Placement Agent Investment Option (incorporated by reference to the Registrant’s Current Report on Form 8-K filed on September 16, 2025)</w:t>
      </w:r>
    </w:p>
    <w:p>
      <w:pPr>
        <w:spacing w:after="0" w:line="1" w:lineRule="exact"/>
        <w:rPr>
          <w:sz w:val="20"/>
          <w:szCs w:val="20"/>
          <w:color w:val="auto"/>
        </w:rPr>
      </w:pPr>
    </w:p>
    <w:p>
      <w:pPr>
        <w:jc w:val="both"/>
        <w:ind w:left="1220" w:hanging="858"/>
        <w:spacing w:after="0"/>
        <w:tabs>
          <w:tab w:leader="none" w:pos="120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Form of Indemnification Agreement, between the Company and each of its Directors and Officers (incorporated by reference to the Company’s Current Report on Form 8-K filed on November 29, 2016).</w:t>
      </w:r>
    </w:p>
    <w:p>
      <w:pPr>
        <w:spacing w:after="0" w:line="1" w:lineRule="exact"/>
        <w:rPr>
          <w:sz w:val="20"/>
          <w:szCs w:val="20"/>
          <w:color w:val="auto"/>
        </w:rPr>
      </w:pPr>
    </w:p>
    <w:p>
      <w:pPr>
        <w:ind w:left="1220" w:hanging="909"/>
        <w:spacing w:after="0" w:line="239" w:lineRule="auto"/>
        <w:tabs>
          <w:tab w:leader="none" w:pos="120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Employment Agreement with Harel Gadot (incorporated by reference to the Company’s Current Report on Form 8-K filed on November 29, 2016).</w:t>
      </w:r>
    </w:p>
    <w:p>
      <w:pPr>
        <w:spacing w:after="0" w:line="1" w:lineRule="exact"/>
        <w:rPr>
          <w:sz w:val="20"/>
          <w:szCs w:val="20"/>
          <w:color w:val="auto"/>
        </w:rPr>
      </w:pPr>
    </w:p>
    <w:p>
      <w:pPr>
        <w:jc w:val="both"/>
        <w:ind w:left="1220" w:hanging="858"/>
        <w:spacing w:after="0"/>
        <w:tabs>
          <w:tab w:leader="none" w:pos="120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color w:val="auto"/>
        </w:rPr>
        <w:t>License Agreement, dated June 20, 2012, by and between Technion Research and Development Foundation, and Microbot Medical Ltd. (incorporated by reference to the Company’s Annual Report on Form 10-K for the fiscal year ended December 31, 2016 and filed on March 21, 2017).</w:t>
      </w:r>
    </w:p>
    <w:p>
      <w:pPr>
        <w:spacing w:after="0" w:line="1" w:lineRule="exact"/>
        <w:rPr>
          <w:sz w:val="20"/>
          <w:szCs w:val="20"/>
          <w:color w:val="auto"/>
        </w:rPr>
      </w:pPr>
    </w:p>
    <w:p>
      <w:pPr>
        <w:jc w:val="both"/>
        <w:ind w:left="1220" w:hanging="909"/>
        <w:spacing w:after="0" w:line="239" w:lineRule="auto"/>
        <w:tabs>
          <w:tab w:leader="none" w:pos="120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Form of Stock Option Agreement under the Microbot Medical Inc. 2017 Equity Incentive Plan (incorporated by reference to the Company’s Quarterly Report on Form 10-Q for the Quarter ended September 30, 2017, filed on November 14, 2017).</w:t>
      </w:r>
    </w:p>
    <w:p>
      <w:pPr>
        <w:spacing w:after="0" w:line="2" w:lineRule="exact"/>
        <w:rPr>
          <w:sz w:val="20"/>
          <w:szCs w:val="20"/>
          <w:color w:val="auto"/>
        </w:rPr>
      </w:pPr>
    </w:p>
    <w:p>
      <w:pPr>
        <w:jc w:val="both"/>
        <w:ind w:left="1220" w:hanging="909"/>
        <w:spacing w:after="0"/>
        <w:tabs>
          <w:tab w:leader="none" w:pos="120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color w:val="auto"/>
        </w:rPr>
        <w:t>Microbot Medical Inc. 2017 Equity Incentive Plan (incorporated by reference to Exhibit A of the Company’s Definitive Proxy Statement on Schedule 14A filed on August 11, 2017).</w:t>
      </w:r>
    </w:p>
    <w:p>
      <w:pPr>
        <w:spacing w:after="0" w:line="1" w:lineRule="exact"/>
        <w:rPr>
          <w:sz w:val="20"/>
          <w:szCs w:val="20"/>
          <w:color w:val="auto"/>
        </w:rPr>
      </w:pPr>
    </w:p>
    <w:p>
      <w:pPr>
        <w:jc w:val="both"/>
        <w:ind w:left="1220" w:hanging="909"/>
        <w:spacing w:after="0" w:line="239" w:lineRule="auto"/>
        <w:tabs>
          <w:tab w:leader="none" w:pos="120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color w:val="auto"/>
        </w:rPr>
        <w:t>Microbot Medical Inc. 2020 Omnibus Performance Award Plan, as amended (incorporated by reference to Exhibit A of the Company’s definitive Proxy Statement on Schedule 14A filed on April 29, 2025)</w:t>
      </w:r>
    </w:p>
    <w:p>
      <w:pPr>
        <w:spacing w:after="0" w:line="2" w:lineRule="exact"/>
        <w:rPr>
          <w:sz w:val="20"/>
          <w:szCs w:val="20"/>
          <w:color w:val="auto"/>
        </w:rPr>
      </w:pPr>
    </w:p>
    <w:p>
      <w:pPr>
        <w:jc w:val="both"/>
        <w:ind w:left="1220" w:hanging="909"/>
        <w:spacing w:after="0"/>
        <w:tabs>
          <w:tab w:leader="none" w:pos="120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color w:val="auto"/>
        </w:rPr>
        <w:t>Form of Restricted Stock Unit Award Agreement under the Microbot Medical Inc. 2020 Omnibus Performance Award Plan (incorporated by reference to Exhibit 4.2 of the registration Statement on Form S-8 of the Company filed on November 25, 2020)</w:t>
      </w:r>
    </w:p>
    <w:p>
      <w:pPr>
        <w:spacing w:after="0" w:line="1" w:lineRule="exact"/>
        <w:rPr>
          <w:sz w:val="20"/>
          <w:szCs w:val="20"/>
          <w:color w:val="auto"/>
        </w:rPr>
      </w:pPr>
    </w:p>
    <w:p>
      <w:pPr>
        <w:jc w:val="both"/>
        <w:ind w:left="1220" w:hanging="909"/>
        <w:spacing w:after="0" w:line="239" w:lineRule="auto"/>
        <w:tabs>
          <w:tab w:leader="none" w:pos="120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Form of NQO Award Agreement under the Microbot Medical Ltd. 2020 Omnibus Performance Award Plan (incorporated by reference to Exhibit 4.3 of the registration Statement on Form S-8 of the Company filed on November 25, 2020)</w:t>
      </w:r>
    </w:p>
    <w:p>
      <w:pPr>
        <w:spacing w:after="0" w:line="2" w:lineRule="exact"/>
        <w:rPr>
          <w:sz w:val="20"/>
          <w:szCs w:val="20"/>
          <w:color w:val="auto"/>
        </w:rPr>
      </w:pPr>
    </w:p>
    <w:p>
      <w:pPr>
        <w:jc w:val="both"/>
        <w:ind w:left="1220" w:hanging="909"/>
        <w:spacing w:after="0"/>
        <w:tabs>
          <w:tab w:leader="none" w:pos="120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Form of Restricted Stock Award Agreement under the Microbot Medical Ltd. 2020 Omnibus Performance Award Plan (incorporated by reference to Exhibit 4.4 of the registration Statement on Form S-8 of the Company filed on November 25, 2020)</w:t>
      </w:r>
    </w:p>
    <w:p>
      <w:pPr>
        <w:spacing w:after="0" w:line="1" w:lineRule="exact"/>
        <w:rPr>
          <w:sz w:val="20"/>
          <w:szCs w:val="20"/>
          <w:color w:val="auto"/>
        </w:rPr>
      </w:pPr>
    </w:p>
    <w:p>
      <w:pPr>
        <w:jc w:val="both"/>
        <w:ind w:left="1220" w:hanging="959"/>
        <w:spacing w:after="0" w:line="239" w:lineRule="auto"/>
        <w:tabs>
          <w:tab w:leader="none" w:pos="120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Form of SAR Award Agreement under the Microbot Medical Ltd. 2020 Omnibus Performance Award Plan (incorporated by reference to Exhibit 4.5 of the registration Statement on Form S-8 of the Company filed on November 25, 2020)</w:t>
      </w:r>
    </w:p>
    <w:p>
      <w:pPr>
        <w:spacing w:after="0" w:line="2" w:lineRule="exact"/>
        <w:rPr>
          <w:sz w:val="20"/>
          <w:szCs w:val="20"/>
          <w:color w:val="auto"/>
        </w:rPr>
      </w:pPr>
    </w:p>
    <w:p>
      <w:pPr>
        <w:jc w:val="both"/>
        <w:ind w:left="1220" w:hanging="959"/>
        <w:spacing w:after="0"/>
        <w:tabs>
          <w:tab w:leader="none" w:pos="120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Form of ISO Award Agreement under the Microbot Medical Ltd. 2020 Omnibus Performance Award Plan (incorporated by reference to Exhibit 4.6 of the registration Statement on Form S-8 of the Company filed on November 25, 2020)</w:t>
      </w:r>
    </w:p>
    <w:p>
      <w:pPr>
        <w:spacing w:after="0" w:line="1" w:lineRule="exact"/>
        <w:rPr>
          <w:sz w:val="20"/>
          <w:szCs w:val="20"/>
          <w:color w:val="auto"/>
        </w:rPr>
      </w:pPr>
    </w:p>
    <w:p>
      <w:pPr>
        <w:jc w:val="both"/>
        <w:ind w:left="1220" w:hanging="959"/>
        <w:spacing w:after="0" w:line="239" w:lineRule="auto"/>
        <w:tabs>
          <w:tab w:leader="none" w:pos="120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Employment Agreement, as of March 31, 2018, with Simon Sharon (incorporated by reference to Exhibit 10.1 of the Company’s Form 8-K filed on April 7, 2021)</w:t>
      </w:r>
    </w:p>
    <w:p>
      <w:pPr>
        <w:spacing w:after="0" w:line="1" w:lineRule="exact"/>
        <w:rPr>
          <w:sz w:val="20"/>
          <w:szCs w:val="20"/>
          <w:color w:val="auto"/>
        </w:rPr>
      </w:pPr>
    </w:p>
    <w:p>
      <w:pPr>
        <w:jc w:val="both"/>
        <w:ind w:left="1220" w:hanging="959"/>
        <w:spacing w:after="0"/>
        <w:tabs>
          <w:tab w:leader="none" w:pos="120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First Amendment to Employment Agreement, dated as of April 19, 2021, with Simon Sharon (incorporated by reference to Exhibit 10.1 of the Company’s Form 8-K filed on April 22, 2021)</w:t>
      </w:r>
    </w:p>
    <w:p>
      <w:pPr>
        <w:spacing w:after="0" w:line="1" w:lineRule="exact"/>
        <w:rPr>
          <w:sz w:val="20"/>
          <w:szCs w:val="20"/>
          <w:color w:val="auto"/>
        </w:rPr>
      </w:pPr>
    </w:p>
    <w:p>
      <w:pPr>
        <w:jc w:val="both"/>
        <w:ind w:left="1220" w:hanging="909"/>
        <w:spacing w:after="0"/>
        <w:tabs>
          <w:tab w:leader="none" w:pos="120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Asset Purchase Agreement with Nitiloop, Ltd. dated October 6, 2022 (incorporated by reference to the Registrant’s Current Report on Form 8-K filed on October 7, 2022)</w:t>
      </w:r>
    </w:p>
    <w:p>
      <w:pPr>
        <w:spacing w:after="0" w:line="1" w:lineRule="exact"/>
        <w:rPr>
          <w:sz w:val="20"/>
          <w:szCs w:val="20"/>
          <w:color w:val="auto"/>
        </w:rPr>
      </w:pPr>
    </w:p>
    <w:p>
      <w:pPr>
        <w:ind w:left="1220" w:hanging="959"/>
        <w:spacing w:after="0" w:line="239" w:lineRule="auto"/>
        <w:tabs>
          <w:tab w:leader="none" w:pos="120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Employment Agreement with Rachel Vaknin (incorporated by reference to the Company’s Current Report on Form 8-K filed on April 5, 2022)</w:t>
      </w:r>
    </w:p>
    <w:p>
      <w:pPr>
        <w:spacing w:after="0" w:line="1" w:lineRule="exact"/>
        <w:rPr>
          <w:sz w:val="20"/>
          <w:szCs w:val="20"/>
          <w:color w:val="auto"/>
        </w:rPr>
      </w:pPr>
    </w:p>
    <w:p>
      <w:pPr>
        <w:ind w:left="1220" w:hanging="959"/>
        <w:spacing w:after="0"/>
        <w:tabs>
          <w:tab w:leader="none" w:pos="120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Second Amendment to Employment Agreement with Harel Gadot (incorporated by reference to the Company’s Current Report on Form 8-K filed on February 1, 2022)</w:t>
      </w:r>
    </w:p>
    <w:p>
      <w:pPr>
        <w:spacing w:after="0" w:line="1" w:lineRule="exact"/>
        <w:rPr>
          <w:sz w:val="20"/>
          <w:szCs w:val="20"/>
          <w:color w:val="auto"/>
        </w:rPr>
      </w:pPr>
    </w:p>
    <w:p>
      <w:pPr>
        <w:jc w:val="both"/>
        <w:ind w:left="1220" w:hanging="909"/>
        <w:spacing w:after="0" w:line="239" w:lineRule="auto"/>
        <w:tabs>
          <w:tab w:leader="none" w:pos="120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Letter Agreements dated March 18, 2021 between Microbot Medical Ltd. and Technion Research and Development Foundation Ltd. (incorporated by reference to the Company’s Annual Report on Form 10-K for the Fiscal Year ended December 31, 2022, filed on March 31, 2023)</w:t>
      </w:r>
    </w:p>
    <w:p>
      <w:pPr>
        <w:spacing w:after="0" w:line="2" w:lineRule="exact"/>
        <w:rPr>
          <w:sz w:val="20"/>
          <w:szCs w:val="20"/>
          <w:color w:val="auto"/>
        </w:rPr>
      </w:pPr>
    </w:p>
    <w:p>
      <w:pPr>
        <w:ind w:left="1220" w:hanging="959"/>
        <w:spacing w:after="0" w:line="248" w:lineRule="auto"/>
        <w:tabs>
          <w:tab w:leader="none" w:pos="120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Addendum to Employment Agreement with Rachel Vaknin (incorporated by reference to the Company’s Current Report on Form 8-K filed on May 22, 2023)</w:t>
      </w:r>
    </w:p>
    <w:p>
      <w:pPr>
        <w:sectPr>
          <w:pgSz w:w="12240" w:h="15840" w:orient="portrait"/>
          <w:cols w:equalWidth="0" w:num="1">
            <w:col w:w="9360"/>
          </w:cols>
          <w:pgMar w:left="1440" w:top="1421" w:right="1440" w:bottom="450" w:gutter="0" w:footer="0" w:header="0"/>
        </w:sect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1421" w:right="1440" w:bottom="450" w:gutter="0" w:footer="0" w:header="0"/>
          <w:type w:val="continuous"/>
        </w:sectPr>
      </w:pPr>
    </w:p>
    <w:bookmarkStart w:id="62" w:name="page63"/>
    <w:bookmarkEnd w:id="62"/>
    <w:tbl>
      <w:tblPr>
        <w:tblLayout w:type="fixed"/>
        <w:tblInd w:w="160" w:type="dxa"/>
        <w:tblCellMar>
          <w:top w:w="0" w:type="dxa"/>
          <w:left w:w="0" w:type="dxa"/>
          <w:bottom w:w="0" w:type="dxa"/>
          <w:right w:w="0" w:type="dxa"/>
        </w:tblCellMar>
      </w:tblP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10.19*</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Addendum to Employment Agreement with Simon Sharon (incorporated by reference to the</w:t>
            </w:r>
          </w:p>
        </w:tc>
      </w:tr>
      <w:tr>
        <w:trPr>
          <w:trHeight w:val="228"/>
        </w:trPr>
        <w:tc>
          <w:tcPr>
            <w:tcW w:w="900" w:type="dxa"/>
            <w:vAlign w:val="bottom"/>
          </w:tcPr>
          <w:p>
            <w:pPr>
              <w:spacing w:after="0"/>
              <w:rPr>
                <w:sz w:val="19"/>
                <w:szCs w:val="19"/>
                <w:color w:val="auto"/>
              </w:rPr>
            </w:pPr>
          </w:p>
        </w:tc>
        <w:tc>
          <w:tcPr>
            <w:tcW w:w="8300" w:type="dxa"/>
            <w:vAlign w:val="bottom"/>
          </w:tcPr>
          <w:p>
            <w:pPr>
              <w:ind w:left="160"/>
              <w:spacing w:after="0" w:line="229" w:lineRule="exact"/>
              <w:rPr>
                <w:sz w:val="20"/>
                <w:szCs w:val="20"/>
                <w:color w:val="auto"/>
              </w:rPr>
            </w:pPr>
            <w:r>
              <w:rPr>
                <w:rFonts w:ascii="Times New Roman" w:cs="Times New Roman" w:eastAsia="Times New Roman" w:hAnsi="Times New Roman"/>
                <w:sz w:val="20"/>
                <w:szCs w:val="20"/>
                <w:color w:val="auto"/>
              </w:rPr>
              <w:t>Company’s Current Report on Form 8-K filed on May 22, 2023)</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10.20*</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Employment Agreement with Juan Diaz-Cartelle, MD (incorporated by reference to the Registrant’s</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Current Report on Form 8-K filed on November 21, 2023)</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7"/>
              </w:rPr>
              <w:t>10.21</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Form of Inducement Letter (incorporated by reference to the Registrant’s Current Report on Form 8-</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K filed on January 2, 2024)</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7"/>
              </w:rPr>
              <w:t>10.22</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Registration Rights Agreement dated as of January 26, 2024 (incorporated by reference to the</w:t>
            </w:r>
          </w:p>
        </w:tc>
      </w:tr>
      <w:tr>
        <w:trPr>
          <w:trHeight w:val="228"/>
        </w:trPr>
        <w:tc>
          <w:tcPr>
            <w:tcW w:w="900" w:type="dxa"/>
            <w:vAlign w:val="bottom"/>
          </w:tcPr>
          <w:p>
            <w:pPr>
              <w:spacing w:after="0"/>
              <w:rPr>
                <w:sz w:val="19"/>
                <w:szCs w:val="19"/>
                <w:color w:val="auto"/>
              </w:rPr>
            </w:pPr>
          </w:p>
        </w:tc>
        <w:tc>
          <w:tcPr>
            <w:tcW w:w="8300" w:type="dxa"/>
            <w:vAlign w:val="bottom"/>
          </w:tcPr>
          <w:p>
            <w:pPr>
              <w:ind w:left="160"/>
              <w:spacing w:after="0" w:line="229" w:lineRule="exact"/>
              <w:rPr>
                <w:sz w:val="20"/>
                <w:szCs w:val="20"/>
                <w:color w:val="auto"/>
              </w:rPr>
            </w:pPr>
            <w:r>
              <w:rPr>
                <w:rFonts w:ascii="Times New Roman" w:cs="Times New Roman" w:eastAsia="Times New Roman" w:hAnsi="Times New Roman"/>
                <w:sz w:val="20"/>
                <w:szCs w:val="20"/>
                <w:color w:val="auto"/>
              </w:rPr>
              <w:t>Registrant’s Current Report on Form 8-K filed on January 30, 2024)</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7"/>
              </w:rPr>
              <w:t>10.23</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Form of Securities Purchase Agreement, dated as of January 6, 2025, by and among Microbot Medical</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Inc. and the purchasers party thereto (incorporated by reference to the Registrant’s Current Report on</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Form 8-K filed on January 7, 2025)</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7"/>
              </w:rPr>
              <w:t>10.24</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Form of Securities Purchase Agreement, dated as of January 7, 2025, by and among Microbot Medical</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Inc. and the purchasers party thereto (incorporated by reference to the Registrant’s Current Report on</w:t>
            </w:r>
          </w:p>
        </w:tc>
      </w:tr>
      <w:tr>
        <w:trPr>
          <w:trHeight w:val="228"/>
        </w:trPr>
        <w:tc>
          <w:tcPr>
            <w:tcW w:w="900" w:type="dxa"/>
            <w:vAlign w:val="bottom"/>
          </w:tcPr>
          <w:p>
            <w:pPr>
              <w:spacing w:after="0"/>
              <w:rPr>
                <w:sz w:val="19"/>
                <w:szCs w:val="19"/>
                <w:color w:val="auto"/>
              </w:rPr>
            </w:pPr>
          </w:p>
        </w:tc>
        <w:tc>
          <w:tcPr>
            <w:tcW w:w="8300" w:type="dxa"/>
            <w:vAlign w:val="bottom"/>
          </w:tcPr>
          <w:p>
            <w:pPr>
              <w:ind w:left="160"/>
              <w:spacing w:after="0" w:line="229" w:lineRule="exact"/>
              <w:rPr>
                <w:sz w:val="20"/>
                <w:szCs w:val="20"/>
                <w:color w:val="auto"/>
              </w:rPr>
            </w:pPr>
            <w:r>
              <w:rPr>
                <w:rFonts w:ascii="Times New Roman" w:cs="Times New Roman" w:eastAsia="Times New Roman" w:hAnsi="Times New Roman"/>
                <w:sz w:val="20"/>
                <w:szCs w:val="20"/>
                <w:color w:val="auto"/>
              </w:rPr>
              <w:t>Form 8-K filed on January 10, 2025)</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10.25*</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Addendum #2 to Employment Agreement, dated as of February 5, 2025, with Simon Sharon</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(incorporated by reference to the Registrant’s Current Report on Form 8-K filed on February 7, 2025)</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10.26*</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Addendum #2 to Employment Agreement, dated as of February 5, 2025, with Rachel Vaknin</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(incorporated by reference to the Registrant’s Current Report on Form 8-K filed on February 7, 2025)</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10.27*</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Amendment to Employment Agreement, dated as of February 5, 2025, with Juan Diaz-Cartelle</w:t>
            </w:r>
          </w:p>
        </w:tc>
      </w:tr>
      <w:tr>
        <w:trPr>
          <w:trHeight w:val="228"/>
        </w:trPr>
        <w:tc>
          <w:tcPr>
            <w:tcW w:w="900" w:type="dxa"/>
            <w:vAlign w:val="bottom"/>
          </w:tcPr>
          <w:p>
            <w:pPr>
              <w:spacing w:after="0"/>
              <w:rPr>
                <w:sz w:val="19"/>
                <w:szCs w:val="19"/>
                <w:color w:val="auto"/>
              </w:rPr>
            </w:pPr>
          </w:p>
        </w:tc>
        <w:tc>
          <w:tcPr>
            <w:tcW w:w="8300" w:type="dxa"/>
            <w:vAlign w:val="bottom"/>
          </w:tcPr>
          <w:p>
            <w:pPr>
              <w:ind w:left="160"/>
              <w:spacing w:after="0" w:line="229" w:lineRule="exact"/>
              <w:rPr>
                <w:sz w:val="20"/>
                <w:szCs w:val="20"/>
                <w:color w:val="auto"/>
              </w:rPr>
            </w:pPr>
            <w:r>
              <w:rPr>
                <w:rFonts w:ascii="Times New Roman" w:cs="Times New Roman" w:eastAsia="Times New Roman" w:hAnsi="Times New Roman"/>
                <w:sz w:val="20"/>
                <w:szCs w:val="20"/>
                <w:color w:val="auto"/>
                <w:w w:val="99"/>
              </w:rPr>
              <w:t>(incorporated by reference to the Registrant’s Current Report on Form 8-K filed on February 7, 2025)</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7"/>
              </w:rPr>
              <w:t>10.28</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Form of Securities Purchase Agreement, dated as of February 9, 2025, by and among the Company</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and the purchasers party thereto (incorporated by reference to the Registrant’s Current Report on Form</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8-K filed on February 11, 2025)</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7"/>
              </w:rPr>
              <w:t>10.29</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Form of Letter Agreement, dated as of September 14, 2025, by and among Microbot Medical Inc. and</w:t>
            </w:r>
          </w:p>
        </w:tc>
      </w:tr>
      <w:tr>
        <w:trPr>
          <w:trHeight w:val="228"/>
        </w:trPr>
        <w:tc>
          <w:tcPr>
            <w:tcW w:w="900" w:type="dxa"/>
            <w:vAlign w:val="bottom"/>
          </w:tcPr>
          <w:p>
            <w:pPr>
              <w:spacing w:after="0"/>
              <w:rPr>
                <w:sz w:val="19"/>
                <w:szCs w:val="19"/>
                <w:color w:val="auto"/>
              </w:rPr>
            </w:pPr>
          </w:p>
        </w:tc>
        <w:tc>
          <w:tcPr>
            <w:tcW w:w="8300" w:type="dxa"/>
            <w:vAlign w:val="bottom"/>
          </w:tcPr>
          <w:p>
            <w:pPr>
              <w:ind w:left="160"/>
              <w:spacing w:after="0" w:line="229" w:lineRule="exact"/>
              <w:rPr>
                <w:sz w:val="20"/>
                <w:szCs w:val="20"/>
                <w:color w:val="auto"/>
              </w:rPr>
            </w:pPr>
            <w:r>
              <w:rPr>
                <w:rFonts w:ascii="Times New Roman" w:cs="Times New Roman" w:eastAsia="Times New Roman" w:hAnsi="Times New Roman"/>
                <w:sz w:val="20"/>
                <w:szCs w:val="20"/>
                <w:color w:val="auto"/>
              </w:rPr>
              <w:t>the holders party thereto (incorporated by reference to the Registrant’s Current Report on Form 8-K</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filed on September 16, 2025)</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10.30*</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Addendum #3 to Employment Agreement, dated as of February 20, 2026, with Simon Sharon</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(incorporated by reference to the Registrant’s Current Report on Form 8-K filed on February 24, 2026)</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10.31*</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Addendum #3 to Employment Agreement, dated as of February 20, 2026, with Rachel Vaknin</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(incorporated by reference to the Registrant’s Current Report on Form 8-K filed on February 24, 2026)</w:t>
            </w:r>
          </w:p>
        </w:tc>
      </w:tr>
      <w:tr>
        <w:trPr>
          <w:trHeight w:val="228"/>
        </w:trPr>
        <w:tc>
          <w:tcPr>
            <w:tcW w:w="900" w:type="dxa"/>
            <w:vAlign w:val="bottom"/>
          </w:tcPr>
          <w:p>
            <w:pPr>
              <w:jc w:val="center"/>
              <w:ind w:right="40"/>
              <w:spacing w:after="0" w:line="229" w:lineRule="exact"/>
              <w:rPr>
                <w:sz w:val="20"/>
                <w:szCs w:val="20"/>
                <w:color w:val="auto"/>
              </w:rPr>
            </w:pPr>
            <w:r>
              <w:rPr>
                <w:rFonts w:ascii="Times New Roman" w:cs="Times New Roman" w:eastAsia="Times New Roman" w:hAnsi="Times New Roman"/>
                <w:sz w:val="20"/>
                <w:szCs w:val="20"/>
                <w:color w:val="auto"/>
              </w:rPr>
              <w:t>10.32*</w:t>
            </w:r>
          </w:p>
        </w:tc>
        <w:tc>
          <w:tcPr>
            <w:tcW w:w="8300" w:type="dxa"/>
            <w:vAlign w:val="bottom"/>
          </w:tcPr>
          <w:p>
            <w:pPr>
              <w:ind w:left="160"/>
              <w:spacing w:after="0" w:line="229" w:lineRule="exact"/>
              <w:rPr>
                <w:sz w:val="20"/>
                <w:szCs w:val="20"/>
                <w:color w:val="auto"/>
              </w:rPr>
            </w:pPr>
            <w:r>
              <w:rPr>
                <w:rFonts w:ascii="Times New Roman" w:cs="Times New Roman" w:eastAsia="Times New Roman" w:hAnsi="Times New Roman"/>
                <w:sz w:val="20"/>
                <w:szCs w:val="20"/>
                <w:color w:val="auto"/>
              </w:rPr>
              <w:t>Amendment #2 to Employment Agreement, dated as of February 20, 2026, with Juan Diaz-Cartelle</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(incorporated by reference to the Registrant’s Current Report on Form 8-K filed on February 24, 2026)</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14.1</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Code of Ethics and Conduct (incorporated by reference to the Company’s Annual Report on Form 10-</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K for the fiscal year ended December 31, 2024 and filed on March 25, 2025)</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19.1</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Blackout Period and Trading Window Policy (incorporated by reference to the Company’s Annual</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Report on Form 10-K for the fiscal year ended December 31, 2024 and filed on March 25, 2025)</w:t>
            </w:r>
          </w:p>
        </w:tc>
      </w:tr>
      <w:tr>
        <w:trPr>
          <w:trHeight w:val="228"/>
        </w:trPr>
        <w:tc>
          <w:tcPr>
            <w:tcW w:w="900" w:type="dxa"/>
            <w:vAlign w:val="bottom"/>
          </w:tcPr>
          <w:p>
            <w:pPr>
              <w:jc w:val="center"/>
              <w:ind w:right="40"/>
              <w:spacing w:after="0" w:line="229" w:lineRule="exact"/>
              <w:rPr>
                <w:sz w:val="20"/>
                <w:szCs w:val="20"/>
                <w:color w:val="auto"/>
              </w:rPr>
            </w:pPr>
            <w:r>
              <w:rPr>
                <w:rFonts w:ascii="Times New Roman" w:cs="Times New Roman" w:eastAsia="Times New Roman" w:hAnsi="Times New Roman"/>
                <w:sz w:val="20"/>
                <w:szCs w:val="20"/>
                <w:color w:val="auto"/>
              </w:rPr>
              <w:t>19.2</w:t>
            </w:r>
          </w:p>
        </w:tc>
        <w:tc>
          <w:tcPr>
            <w:tcW w:w="8300" w:type="dxa"/>
            <w:vAlign w:val="bottom"/>
          </w:tcPr>
          <w:p>
            <w:pPr>
              <w:ind w:left="160"/>
              <w:spacing w:after="0" w:line="229" w:lineRule="exact"/>
              <w:rPr>
                <w:sz w:val="20"/>
                <w:szCs w:val="20"/>
                <w:color w:val="auto"/>
              </w:rPr>
            </w:pPr>
            <w:r>
              <w:rPr>
                <w:rFonts w:ascii="Times New Roman" w:cs="Times New Roman" w:eastAsia="Times New Roman" w:hAnsi="Times New Roman"/>
                <w:sz w:val="20"/>
                <w:szCs w:val="20"/>
                <w:color w:val="auto"/>
                <w:w w:val="99"/>
              </w:rPr>
              <w:t>Insider Trading Policy (incorporated by reference to the Company’s Annual Report on Form 10-K for</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fiscal year ended December 31, 2024 and filed on March 25, 2025)</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21.1</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Subsidiaries of the Company (incorporated by reference to the Company’s Annual Report on Form 10-</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K for the fiscal year ended December 31, 2016 and filed on March 21, 2017).</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23.1</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tc>
      </w:tr>
      <w:tr>
        <w:trPr>
          <w:trHeight w:val="228"/>
        </w:trPr>
        <w:tc>
          <w:tcPr>
            <w:tcW w:w="900" w:type="dxa"/>
            <w:vAlign w:val="bottom"/>
          </w:tcPr>
          <w:p>
            <w:pPr>
              <w:jc w:val="center"/>
              <w:ind w:right="40"/>
              <w:spacing w:after="0" w:line="228" w:lineRule="exact"/>
              <w:rPr>
                <w:sz w:val="20"/>
                <w:szCs w:val="20"/>
                <w:color w:val="auto"/>
              </w:rPr>
            </w:pPr>
            <w:r>
              <w:rPr>
                <w:rFonts w:ascii="Times New Roman" w:cs="Times New Roman" w:eastAsia="Times New Roman" w:hAnsi="Times New Roman"/>
                <w:sz w:val="20"/>
                <w:szCs w:val="20"/>
                <w:color w:val="auto"/>
              </w:rPr>
              <w:t>31.1</w:t>
            </w:r>
          </w:p>
        </w:tc>
        <w:tc>
          <w:tcPr>
            <w:tcW w:w="8300" w:type="dxa"/>
            <w:vAlign w:val="bottom"/>
          </w:tcPr>
          <w:p>
            <w:pPr>
              <w:ind w:left="160"/>
              <w:spacing w:after="0" w:line="228" w:lineRule="exact"/>
              <w:rPr>
                <w:sz w:val="20"/>
                <w:szCs w:val="20"/>
                <w:color w:val="auto"/>
              </w:rPr>
            </w:pPr>
            <w:r>
              <w:rPr>
                <w:rFonts w:ascii="Times New Roman" w:cs="Times New Roman" w:eastAsia="Times New Roman" w:hAnsi="Times New Roman"/>
                <w:sz w:val="20"/>
                <w:szCs w:val="20"/>
                <w:color w:val="auto"/>
              </w:rPr>
              <w:t>Certification Pursuant to Securities Exchange Act Rule 13(a)-14(a), as Adopted Pursuant to Section</w:t>
            </w:r>
          </w:p>
        </w:tc>
      </w:tr>
      <w:tr>
        <w:trPr>
          <w:trHeight w:val="231"/>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302 of the Sarbanes-Oxley Act of 2002 (Harel Gadot, Chief Executive Officer)</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31.2</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Certification Pursuant to Securities Exchange Act Rule 13(a)-14(a), as Adopted Pursuant to Section</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302 of the Sarbanes-Oxley Act of 2002 (Rachel Vaknin, Chief Financial Officer)</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32.1</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Certification Pursuant to 18 U.S.C. Section 1350, As Adopted Pursuant to Section 906 of the Sarbanes-</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Oxley Act of 2002 (Harel Gadot, Chief Executive Officer)</w:t>
            </w:r>
          </w:p>
        </w:tc>
      </w:tr>
      <w:tr>
        <w:trPr>
          <w:trHeight w:val="228"/>
        </w:trPr>
        <w:tc>
          <w:tcPr>
            <w:tcW w:w="900" w:type="dxa"/>
            <w:vAlign w:val="bottom"/>
          </w:tcPr>
          <w:p>
            <w:pPr>
              <w:jc w:val="center"/>
              <w:ind w:right="40"/>
              <w:spacing w:after="0" w:line="228" w:lineRule="exact"/>
              <w:rPr>
                <w:sz w:val="20"/>
                <w:szCs w:val="20"/>
                <w:color w:val="auto"/>
              </w:rPr>
            </w:pPr>
            <w:r>
              <w:rPr>
                <w:rFonts w:ascii="Times New Roman" w:cs="Times New Roman" w:eastAsia="Times New Roman" w:hAnsi="Times New Roman"/>
                <w:sz w:val="20"/>
                <w:szCs w:val="20"/>
                <w:color w:val="auto"/>
              </w:rPr>
              <w:t>32.2</w:t>
            </w:r>
          </w:p>
        </w:tc>
        <w:tc>
          <w:tcPr>
            <w:tcW w:w="8300" w:type="dxa"/>
            <w:vAlign w:val="bottom"/>
          </w:tcPr>
          <w:p>
            <w:pPr>
              <w:ind w:left="160"/>
              <w:spacing w:after="0" w:line="228" w:lineRule="exact"/>
              <w:rPr>
                <w:sz w:val="20"/>
                <w:szCs w:val="20"/>
                <w:color w:val="auto"/>
              </w:rPr>
            </w:pPr>
            <w:r>
              <w:rPr>
                <w:rFonts w:ascii="Times New Roman" w:cs="Times New Roman" w:eastAsia="Times New Roman" w:hAnsi="Times New Roman"/>
                <w:sz w:val="20"/>
                <w:szCs w:val="20"/>
                <w:color w:val="auto"/>
                <w:w w:val="98"/>
              </w:rPr>
              <w:t>Certification Pursuant to 18 U.S.C. Section 1350, As Adopted Pursuant to Section 906 of the Sarbanes-</w:t>
            </w:r>
          </w:p>
        </w:tc>
      </w:tr>
      <w:tr>
        <w:trPr>
          <w:trHeight w:val="231"/>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Oxley Act of 2002 (Rachel Vaknin, Chief Financial Officer)</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97.1</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Clawback Policy (incorporated by reference to the Company’s Annual Report on Form 10-K for the</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fiscal year ended December 31, 2023 and filed on March 27, 2024)</w:t>
            </w:r>
          </w:p>
        </w:tc>
      </w:tr>
      <w:tr>
        <w:trPr>
          <w:trHeight w:val="230"/>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101.INS</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8"/>
              </w:rPr>
              <w:t>Inline XBRL Instance - The instance document does not appear in the Interactive Data File because its</w:t>
            </w:r>
          </w:p>
        </w:tc>
      </w:tr>
      <w:tr>
        <w:trPr>
          <w:trHeight w:val="230"/>
        </w:trPr>
        <w:tc>
          <w:tcPr>
            <w:tcW w:w="900" w:type="dxa"/>
            <w:vAlign w:val="bottom"/>
          </w:tcPr>
          <w:p>
            <w:pPr>
              <w:spacing w:after="0"/>
              <w:rPr>
                <w:sz w:val="20"/>
                <w:szCs w:val="20"/>
                <w:color w:val="auto"/>
              </w:rPr>
            </w:pP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XBRL tags are embedded within the Inline XBRL document.</w:t>
            </w:r>
          </w:p>
        </w:tc>
      </w:tr>
      <w:tr>
        <w:trPr>
          <w:trHeight w:val="228"/>
        </w:trPr>
        <w:tc>
          <w:tcPr>
            <w:tcW w:w="900" w:type="dxa"/>
            <w:vAlign w:val="bottom"/>
          </w:tcPr>
          <w:p>
            <w:pPr>
              <w:jc w:val="center"/>
              <w:ind w:right="40"/>
              <w:spacing w:after="0" w:line="228" w:lineRule="exact"/>
              <w:rPr>
                <w:sz w:val="20"/>
                <w:szCs w:val="20"/>
                <w:color w:val="auto"/>
              </w:rPr>
            </w:pPr>
            <w:r>
              <w:rPr>
                <w:rFonts w:ascii="Times New Roman" w:cs="Times New Roman" w:eastAsia="Times New Roman" w:hAnsi="Times New Roman"/>
                <w:sz w:val="20"/>
                <w:szCs w:val="20"/>
                <w:color w:val="auto"/>
                <w:w w:val="97"/>
              </w:rPr>
              <w:t>101.SCH</w:t>
            </w:r>
          </w:p>
        </w:tc>
        <w:tc>
          <w:tcPr>
            <w:tcW w:w="8300" w:type="dxa"/>
            <w:vAlign w:val="bottom"/>
          </w:tcPr>
          <w:p>
            <w:pPr>
              <w:ind w:left="160"/>
              <w:spacing w:after="0" w:line="228" w:lineRule="exact"/>
              <w:rPr>
                <w:sz w:val="20"/>
                <w:szCs w:val="20"/>
                <w:color w:val="auto"/>
              </w:rPr>
            </w:pPr>
            <w:r>
              <w:rPr>
                <w:rFonts w:ascii="Times New Roman" w:cs="Times New Roman" w:eastAsia="Times New Roman" w:hAnsi="Times New Roman"/>
                <w:sz w:val="20"/>
                <w:szCs w:val="20"/>
                <w:color w:val="auto"/>
              </w:rPr>
              <w:t>Inline XBRL Taxonomy Extension Schema.</w:t>
            </w:r>
          </w:p>
        </w:tc>
      </w:tr>
      <w:tr>
        <w:trPr>
          <w:trHeight w:val="231"/>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rPr>
              <w:t>101.CAL</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Inline XBRL Taxonomy Extension Calculation.</w:t>
            </w:r>
          </w:p>
        </w:tc>
      </w:tr>
      <w:tr>
        <w:trPr>
          <w:trHeight w:val="265"/>
        </w:trPr>
        <w:tc>
          <w:tcPr>
            <w:tcW w:w="900" w:type="dxa"/>
            <w:vAlign w:val="bottom"/>
          </w:tcPr>
          <w:p>
            <w:pPr>
              <w:jc w:val="center"/>
              <w:ind w:right="40"/>
              <w:spacing w:after="0"/>
              <w:rPr>
                <w:sz w:val="20"/>
                <w:szCs w:val="20"/>
                <w:color w:val="auto"/>
              </w:rPr>
            </w:pPr>
            <w:r>
              <w:rPr>
                <w:rFonts w:ascii="Times New Roman" w:cs="Times New Roman" w:eastAsia="Times New Roman" w:hAnsi="Times New Roman"/>
                <w:sz w:val="20"/>
                <w:szCs w:val="20"/>
                <w:color w:val="auto"/>
                <w:w w:val="98"/>
              </w:rPr>
              <w:t>101.DEF</w:t>
            </w:r>
          </w:p>
        </w:tc>
        <w:tc>
          <w:tcPr>
            <w:tcW w:w="83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Inline XBRL Taxonomy Extension Definition.</w:t>
            </w:r>
          </w:p>
        </w:tc>
      </w:tr>
    </w:tbl>
    <w:p>
      <w:pPr>
        <w:spacing w:after="0" w:line="200" w:lineRule="exact"/>
        <w:rPr>
          <w:sz w:val="20"/>
          <w:szCs w:val="20"/>
          <w:color w:val="auto"/>
        </w:rPr>
      </w:pPr>
    </w:p>
    <w:p>
      <w:pPr>
        <w:sectPr>
          <w:pgSz w:w="12240" w:h="15840" w:orient="portrait"/>
          <w:cols w:equalWidth="0" w:num="1">
            <w:col w:w="9360"/>
          </w:cols>
          <w:pgMar w:left="1440" w:top="1421" w:right="1440" w:bottom="450" w:gutter="0" w:footer="0" w:header="0"/>
        </w:sectPr>
      </w:pP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1421" w:right="1440" w:bottom="450" w:gutter="0" w:footer="0" w:header="0"/>
          <w:type w:val="continuous"/>
        </w:sectPr>
      </w:pPr>
    </w:p>
    <w:bookmarkStart w:id="63" w:name="page64"/>
    <w:bookmarkEnd w:id="63"/>
    <w:tbl>
      <w:tblPr>
        <w:tblLayout w:type="fixed"/>
        <w:tblInd w:w="1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40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Inline XBRL Taxonomy Extension Labels.</w:t>
            </w:r>
          </w:p>
        </w:tc>
      </w:tr>
      <w:tr>
        <w:trPr>
          <w:trHeight w:val="256"/>
        </w:trPr>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101.PRE</w:t>
            </w:r>
          </w:p>
        </w:tc>
        <w:tc>
          <w:tcPr>
            <w:tcW w:w="40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Inline XBRL Taxonomy Extension Presentation.</w:t>
            </w:r>
          </w:p>
        </w:tc>
      </w:tr>
    </w:tbl>
    <w:p>
      <w:pPr>
        <w:ind w:left="1220" w:hanging="831"/>
        <w:spacing w:after="0"/>
        <w:tabs>
          <w:tab w:leader="none" w:pos="122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226"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Management contract or compensatory plan or arrangement</w:t>
      </w:r>
    </w:p>
    <w:p>
      <w:pPr>
        <w:spacing w:after="0" w:line="28" w:lineRule="exact"/>
        <w:rPr>
          <w:rFonts w:ascii="Times New Roman" w:cs="Times New Roman" w:eastAsia="Times New Roman" w:hAnsi="Times New Roman"/>
          <w:sz w:val="20"/>
          <w:szCs w:val="20"/>
          <w:color w:val="auto"/>
        </w:rPr>
      </w:pPr>
    </w:p>
    <w:p>
      <w:pPr>
        <w:ind w:left="360" w:hanging="360"/>
        <w:spacing w:after="0" w:line="245" w:lineRule="auto"/>
        <w:tabs>
          <w:tab w:leader="none" w:pos="3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identified information has been excluded from this exhibit because it is both (i) not material and (ii) would be competitively harmful if publicly disclosed.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Item 16. </w:t>
      </w:r>
      <w:r>
        <w:rPr>
          <w:rFonts w:ascii="Times New Roman" w:cs="Times New Roman" w:eastAsia="Times New Roman" w:hAnsi="Times New Roman"/>
          <w:sz w:val="20"/>
          <w:szCs w:val="20"/>
          <w:b w:val="1"/>
          <w:bCs w:val="1"/>
          <w:u w:val="single" w:color="auto"/>
          <w:color w:val="auto"/>
        </w:rPr>
        <w:t>Form 10-K Summary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elected not to provide summary information.</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1421" w:right="1440" w:bottom="450"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auto"/>
        </w:rPr>
        <w:t>MICROBOT MEDICAL INC.</w:t>
      </w:r>
    </w:p>
    <w:p>
      <w:pPr>
        <w:spacing w:after="0" w:line="23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i w:val="1"/>
          <w:iCs w:val="1"/>
          <w:color w:val="auto"/>
        </w:rPr>
        <w:t>/s/ Harel Gadot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2971800</wp:posOffset>
                </wp:positionH>
                <wp:positionV relativeFrom="paragraph">
                  <wp:posOffset>16510</wp:posOffset>
                </wp:positionV>
                <wp:extent cx="29718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718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pt,1.3pt" to="468pt,1.3pt" o:allowincell="f" strokecolor="#000000" strokeweight="0.9599pt"/>
            </w:pict>
          </mc:Fallback>
        </mc:AlternateContent>
      </w:r>
    </w:p>
    <w:p>
      <w:pPr>
        <w:spacing w:after="0" w:line="1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Harel Gadot</w:t>
      </w:r>
    </w:p>
    <w:p>
      <w:pPr>
        <w:spacing w:after="0" w:line="1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i w:val="1"/>
          <w:iCs w:val="1"/>
          <w:color w:val="auto"/>
        </w:rPr>
        <w:t>President, Chief Executive Officer and Chairman</w:t>
      </w:r>
    </w:p>
    <w:p>
      <w:pPr>
        <w:spacing w:after="0"/>
        <w:rPr>
          <w:sz w:val="20"/>
          <w:szCs w:val="20"/>
          <w:color w:val="auto"/>
        </w:rPr>
      </w:pPr>
      <w:r>
        <w:rPr>
          <w:rFonts w:ascii="Times New Roman" w:cs="Times New Roman" w:eastAsia="Times New Roman" w:hAnsi="Times New Roman"/>
          <w:sz w:val="20"/>
          <w:szCs w:val="20"/>
          <w:color w:val="auto"/>
        </w:rPr>
        <w:t>Dated: March 26, 2026</w:t>
      </w:r>
    </w:p>
    <w:p>
      <w:pPr>
        <w:spacing w:after="0" w:line="20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2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20"/>
        </w:trPr>
        <w:tc>
          <w:tcPr>
            <w:tcW w:w="2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440"/>
        </w:trPr>
        <w:tc>
          <w:tcPr>
            <w:tcW w:w="280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/s/ Harel Gadot</w:t>
            </w: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Chairman, President and Chief Executive</w:t>
            </w:r>
          </w:p>
        </w:tc>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9"/>
        </w:trPr>
        <w:tc>
          <w:tcPr>
            <w:tcW w:w="28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Officer</w:t>
            </w:r>
          </w:p>
        </w:tc>
        <w:tc>
          <w:tcPr>
            <w:tcW w:w="20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26, 2026</w:t>
            </w:r>
          </w:p>
        </w:tc>
      </w:tr>
      <w:tr>
        <w:trPr>
          <w:trHeight w:val="272"/>
        </w:trPr>
        <w:tc>
          <w:tcPr>
            <w:tcW w:w="2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Harel Gadot</w:t>
            </w:r>
          </w:p>
        </w:tc>
        <w:tc>
          <w:tcPr>
            <w:tcW w:w="2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20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418"/>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Rachel Vaknin</w:t>
            </w:r>
          </w:p>
        </w:tc>
        <w:tc>
          <w:tcPr>
            <w:tcW w:w="2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2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26, 2026</w:t>
            </w:r>
          </w:p>
        </w:tc>
      </w:tr>
      <w:tr>
        <w:trPr>
          <w:trHeight w:val="273"/>
        </w:trPr>
        <w:tc>
          <w:tcPr>
            <w:tcW w:w="2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Rachel Vaknin</w:t>
            </w:r>
          </w:p>
        </w:tc>
        <w:tc>
          <w:tcPr>
            <w:tcW w:w="20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20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418"/>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David J. Wilson</w:t>
            </w:r>
          </w:p>
        </w:tc>
        <w:tc>
          <w:tcPr>
            <w:tcW w:w="2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26, 2026</w:t>
            </w:r>
          </w:p>
        </w:tc>
      </w:tr>
      <w:tr>
        <w:trPr>
          <w:trHeight w:val="273"/>
        </w:trPr>
        <w:tc>
          <w:tcPr>
            <w:tcW w:w="2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David J. Wilson</w:t>
            </w:r>
          </w:p>
        </w:tc>
        <w:tc>
          <w:tcPr>
            <w:tcW w:w="2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418"/>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Prattipati Laxminarain</w:t>
            </w:r>
          </w:p>
        </w:tc>
        <w:tc>
          <w:tcPr>
            <w:tcW w:w="2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26, 2026</w:t>
            </w:r>
          </w:p>
        </w:tc>
      </w:tr>
      <w:tr>
        <w:trPr>
          <w:trHeight w:val="273"/>
        </w:trPr>
        <w:tc>
          <w:tcPr>
            <w:tcW w:w="2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Prattipati Laxminarain</w:t>
            </w:r>
          </w:p>
        </w:tc>
        <w:tc>
          <w:tcPr>
            <w:tcW w:w="2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418"/>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Scott Burell</w:t>
            </w:r>
          </w:p>
        </w:tc>
        <w:tc>
          <w:tcPr>
            <w:tcW w:w="2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26, 2026</w:t>
            </w:r>
          </w:p>
        </w:tc>
      </w:tr>
      <w:tr>
        <w:trPr>
          <w:trHeight w:val="273"/>
        </w:trPr>
        <w:tc>
          <w:tcPr>
            <w:tcW w:w="2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Scott Burell</w:t>
            </w:r>
          </w:p>
        </w:tc>
        <w:tc>
          <w:tcPr>
            <w:tcW w:w="2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416"/>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Martin Madden</w:t>
            </w:r>
          </w:p>
        </w:tc>
        <w:tc>
          <w:tcPr>
            <w:tcW w:w="2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26, 2026</w:t>
            </w:r>
          </w:p>
        </w:tc>
      </w:tr>
      <w:tr>
        <w:trPr>
          <w:trHeight w:val="272"/>
        </w:trPr>
        <w:tc>
          <w:tcPr>
            <w:tcW w:w="2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Martin Madden</w:t>
            </w:r>
          </w:p>
        </w:tc>
        <w:tc>
          <w:tcPr>
            <w:tcW w:w="2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418"/>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Aileen Stockburger</w:t>
            </w:r>
          </w:p>
        </w:tc>
        <w:tc>
          <w:tcPr>
            <w:tcW w:w="2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26, 2026</w:t>
            </w:r>
          </w:p>
        </w:tc>
      </w:tr>
      <w:tr>
        <w:trPr>
          <w:trHeight w:val="272"/>
        </w:trPr>
        <w:tc>
          <w:tcPr>
            <w:tcW w:w="2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Aileen Stockburger</w:t>
            </w:r>
          </w:p>
        </w:tc>
        <w:tc>
          <w:tcPr>
            <w:tcW w:w="2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418"/>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 Tal Wenderow</w:t>
            </w:r>
          </w:p>
        </w:tc>
        <w:tc>
          <w:tcPr>
            <w:tcW w:w="2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26, 2026</w:t>
            </w:r>
          </w:p>
        </w:tc>
      </w:tr>
      <w:tr>
        <w:trPr>
          <w:trHeight w:val="273"/>
        </w:trPr>
        <w:tc>
          <w:tcPr>
            <w:tcW w:w="2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Tal Wenderow</w:t>
            </w:r>
          </w:p>
        </w:tc>
        <w:tc>
          <w:tcPr>
            <w:tcW w:w="20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4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9360"/>
          </w:cols>
          <w:pgMar w:left="1440" w:top="1417"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1417" w:right="1440" w:bottom="450"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MICROBOT MEDICAL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438"/>
        </w:trPr>
        <w:tc>
          <w:tcPr>
            <w:tcW w:w="8280" w:type="dxa"/>
            <w:vAlign w:val="bottom"/>
            <w:gridSpan w:val="7"/>
          </w:tcPr>
          <w:p>
            <w:pPr>
              <w:spacing w:after="0"/>
              <w:rPr>
                <w:sz w:val="20"/>
                <w:szCs w:val="20"/>
                <w:color w:val="auto"/>
              </w:rPr>
            </w:pPr>
            <w:r>
              <w:rPr>
                <w:rFonts w:ascii="Times New Roman" w:cs="Times New Roman" w:eastAsia="Times New Roman" w:hAnsi="Times New Roman"/>
                <w:sz w:val="20"/>
                <w:szCs w:val="20"/>
                <w:color w:val="0D248E"/>
              </w:rPr>
              <w:t xml:space="preserve">Report of Independent Registered Public Accounting Firm </w:t>
            </w:r>
            <w:r>
              <w:rPr>
                <w:rFonts w:ascii="Times New Roman" w:cs="Times New Roman" w:eastAsia="Times New Roman" w:hAnsi="Times New Roman"/>
                <w:sz w:val="20"/>
                <w:szCs w:val="20"/>
                <w:color w:val="000000"/>
              </w:rPr>
              <w:t>(PCAOB ID No. 1197)</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F-2 – F-3</w:t>
            </w:r>
          </w:p>
        </w:tc>
      </w:tr>
      <w:tr>
        <w:trPr>
          <w:trHeight w:val="20"/>
        </w:trPr>
        <w:tc>
          <w:tcPr>
            <w:tcW w:w="3800" w:type="dxa"/>
            <w:vAlign w:val="bottom"/>
            <w:shd w:val="clear" w:color="auto" w:fill="0D248E"/>
          </w:tcPr>
          <w:p>
            <w:pPr>
              <w:spacing w:after="0" w:line="20" w:lineRule="exact"/>
              <w:rPr>
                <w:sz w:val="1"/>
                <w:szCs w:val="1"/>
                <w:color w:val="auto"/>
              </w:rPr>
            </w:pPr>
          </w:p>
        </w:tc>
        <w:tc>
          <w:tcPr>
            <w:tcW w:w="900" w:type="dxa"/>
            <w:vAlign w:val="bottom"/>
            <w:shd w:val="clear" w:color="auto" w:fill="0D248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41"/>
        </w:trPr>
        <w:tc>
          <w:tcPr>
            <w:tcW w:w="5220" w:type="dxa"/>
            <w:vAlign w:val="bottom"/>
            <w:tcBorders>
              <w:bottom w:val="single" w:sz="8" w:color="0D248E"/>
            </w:tcBorders>
            <w:gridSpan w:val="3"/>
          </w:tcPr>
          <w:p>
            <w:pPr>
              <w:spacing w:after="0"/>
              <w:rPr>
                <w:sz w:val="20"/>
                <w:szCs w:val="20"/>
                <w:color w:val="auto"/>
              </w:rPr>
            </w:pPr>
            <w:r>
              <w:rPr>
                <w:rFonts w:ascii="Times New Roman" w:cs="Times New Roman" w:eastAsia="Times New Roman" w:hAnsi="Times New Roman"/>
                <w:sz w:val="20"/>
                <w:szCs w:val="20"/>
                <w:color w:val="0D248E"/>
                <w:w w:val="99"/>
              </w:rPr>
              <w:t>Consolidated Balance Sheets as of December 31, 2025, and 2024</w:t>
            </w:r>
          </w:p>
        </w:tc>
        <w:tc>
          <w:tcPr>
            <w:tcW w:w="3060" w:type="dxa"/>
            <w:vAlign w:val="bottom"/>
            <w:gridSpan w:val="4"/>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F-4</w:t>
            </w:r>
          </w:p>
        </w:tc>
      </w:tr>
      <w:tr>
        <w:trPr>
          <w:trHeight w:val="441"/>
        </w:trPr>
        <w:tc>
          <w:tcPr>
            <w:tcW w:w="8280" w:type="dxa"/>
            <w:vAlign w:val="bottom"/>
            <w:gridSpan w:val="7"/>
          </w:tcPr>
          <w:p>
            <w:pPr>
              <w:spacing w:after="0"/>
              <w:rPr>
                <w:sz w:val="20"/>
                <w:szCs w:val="20"/>
                <w:color w:val="auto"/>
              </w:rPr>
            </w:pPr>
            <w:r>
              <w:rPr>
                <w:rFonts w:ascii="Times New Roman" w:cs="Times New Roman" w:eastAsia="Times New Roman" w:hAnsi="Times New Roman"/>
                <w:sz w:val="20"/>
                <w:szCs w:val="20"/>
                <w:color w:val="0D248E"/>
              </w:rPr>
              <w:t>Consolidated Statements of Comprehensive Loss for the years ended December 31, 2025 and 2024</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F-5</w:t>
            </w:r>
          </w:p>
        </w:tc>
      </w:tr>
      <w:tr>
        <w:trPr>
          <w:trHeight w:val="20"/>
        </w:trPr>
        <w:tc>
          <w:tcPr>
            <w:tcW w:w="3800" w:type="dxa"/>
            <w:vAlign w:val="bottom"/>
            <w:shd w:val="clear" w:color="auto" w:fill="0D248E"/>
          </w:tcPr>
          <w:p>
            <w:pPr>
              <w:spacing w:after="0" w:line="20" w:lineRule="exact"/>
              <w:rPr>
                <w:sz w:val="1"/>
                <w:szCs w:val="1"/>
                <w:color w:val="auto"/>
              </w:rPr>
            </w:pPr>
          </w:p>
        </w:tc>
        <w:tc>
          <w:tcPr>
            <w:tcW w:w="3380" w:type="dxa"/>
            <w:vAlign w:val="bottom"/>
            <w:gridSpan w:val="3"/>
            <w:shd w:val="clear" w:color="auto" w:fill="0D248E"/>
          </w:tcPr>
          <w:p>
            <w:pPr>
              <w:spacing w:after="0" w:line="20" w:lineRule="exact"/>
              <w:rPr>
                <w:sz w:val="1"/>
                <w:szCs w:val="1"/>
                <w:color w:val="auto"/>
              </w:rPr>
            </w:pPr>
          </w:p>
        </w:tc>
        <w:tc>
          <w:tcPr>
            <w:tcW w:w="740" w:type="dxa"/>
            <w:vAlign w:val="bottom"/>
            <w:shd w:val="clear" w:color="auto" w:fill="0D24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38"/>
        </w:trPr>
        <w:tc>
          <w:tcPr>
            <w:tcW w:w="7940" w:type="dxa"/>
            <w:vAlign w:val="bottom"/>
            <w:tcBorders>
              <w:bottom w:val="single" w:sz="8" w:color="0D248E"/>
            </w:tcBorders>
            <w:gridSpan w:val="6"/>
          </w:tcPr>
          <w:p>
            <w:pPr>
              <w:spacing w:after="0"/>
              <w:rPr>
                <w:sz w:val="20"/>
                <w:szCs w:val="20"/>
                <w:color w:val="auto"/>
              </w:rPr>
            </w:pPr>
            <w:r>
              <w:rPr>
                <w:rFonts w:ascii="Times New Roman" w:cs="Times New Roman" w:eastAsia="Times New Roman" w:hAnsi="Times New Roman"/>
                <w:sz w:val="20"/>
                <w:szCs w:val="20"/>
                <w:color w:val="0D248E"/>
                <w:w w:val="99"/>
              </w:rPr>
              <w:t>Consolidated Statements of Shareholders’ Equity for the years ended December 31, 2025 and 2024</w:t>
            </w:r>
          </w:p>
        </w:tc>
        <w:tc>
          <w:tcPr>
            <w:tcW w:w="3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F-6</w:t>
            </w:r>
          </w:p>
        </w:tc>
      </w:tr>
      <w:tr>
        <w:trPr>
          <w:trHeight w:val="441"/>
        </w:trPr>
        <w:tc>
          <w:tcPr>
            <w:tcW w:w="8280" w:type="dxa"/>
            <w:vAlign w:val="bottom"/>
            <w:gridSpan w:val="7"/>
          </w:tcPr>
          <w:p>
            <w:pPr>
              <w:spacing w:after="0"/>
              <w:rPr>
                <w:sz w:val="20"/>
                <w:szCs w:val="20"/>
                <w:color w:val="auto"/>
              </w:rPr>
            </w:pPr>
            <w:r>
              <w:rPr>
                <w:rFonts w:ascii="Times New Roman" w:cs="Times New Roman" w:eastAsia="Times New Roman" w:hAnsi="Times New Roman"/>
                <w:sz w:val="20"/>
                <w:szCs w:val="20"/>
                <w:color w:val="0D248E"/>
              </w:rPr>
              <w:t>Consolidated Statements of Cash Flows for the years ended December 31, 2025 and 2024</w:t>
            </w: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F-7</w:t>
            </w:r>
          </w:p>
        </w:tc>
      </w:tr>
      <w:tr>
        <w:trPr>
          <w:trHeight w:val="441"/>
        </w:trPr>
        <w:tc>
          <w:tcPr>
            <w:tcW w:w="3800" w:type="dxa"/>
            <w:vAlign w:val="bottom"/>
            <w:tcBorders>
              <w:top w:val="single" w:sz="8" w:color="0D248E"/>
              <w:bottom w:val="single" w:sz="8" w:color="0D248E"/>
            </w:tcBorders>
          </w:tcPr>
          <w:p>
            <w:pPr>
              <w:spacing w:after="0"/>
              <w:rPr>
                <w:sz w:val="20"/>
                <w:szCs w:val="20"/>
                <w:color w:val="auto"/>
              </w:rPr>
            </w:pPr>
            <w:r>
              <w:rPr>
                <w:rFonts w:ascii="Times New Roman" w:cs="Times New Roman" w:eastAsia="Times New Roman" w:hAnsi="Times New Roman"/>
                <w:sz w:val="20"/>
                <w:szCs w:val="20"/>
                <w:color w:val="0D248E"/>
                <w:w w:val="99"/>
              </w:rPr>
              <w:t>Notes to the Consolidated Financial Statements</w:t>
            </w:r>
          </w:p>
        </w:tc>
        <w:tc>
          <w:tcPr>
            <w:tcW w:w="3380" w:type="dxa"/>
            <w:vAlign w:val="bottom"/>
            <w:tcBorders>
              <w:top w:val="single" w:sz="8" w:color="0D248E"/>
            </w:tcBorders>
            <w:gridSpan w:val="3"/>
          </w:tcPr>
          <w:p>
            <w:pPr>
              <w:spacing w:after="0"/>
              <w:rPr>
                <w:sz w:val="24"/>
                <w:szCs w:val="24"/>
                <w:color w:val="auto"/>
              </w:rPr>
            </w:pPr>
          </w:p>
        </w:tc>
        <w:tc>
          <w:tcPr>
            <w:tcW w:w="1100" w:type="dxa"/>
            <w:vAlign w:val="bottom"/>
            <w:gridSpan w:val="3"/>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F-8 – F-28</w:t>
            </w:r>
          </w:p>
        </w:tc>
      </w:tr>
    </w:tbl>
    <w:p>
      <w:pPr>
        <w:spacing w:after="0" w:line="200" w:lineRule="exact"/>
        <w:rPr>
          <w:sz w:val="20"/>
          <w:szCs w:val="20"/>
          <w:color w:val="auto"/>
        </w:rPr>
      </w:pPr>
    </w:p>
    <w:p>
      <w:pPr>
        <w:sectPr>
          <w:pgSz w:w="12240" w:h="15840" w:orient="portrait"/>
          <w:cols w:equalWidth="0" w:num="1">
            <w:col w:w="9360"/>
          </w:cols>
          <w:pgMar w:left="1440" w:top="1417"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360"/>
          </w:cols>
          <w:pgMar w:left="1440" w:top="1417" w:right="1440" w:bottom="45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Directors of Microbot Medical Inc.</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Opinion on the Financial Statements</w:t>
      </w:r>
    </w:p>
    <w:p>
      <w:pPr>
        <w:spacing w:after="0" w:line="2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Microbot Medical Inc. and its subsidiary (the “Company”) as of December 31, 2025 and 2024, and the related consolidated statements of comprehensive loss, shareholders’ equity and cash flows, for each of the two years in the period ended December 31, 2025, and the related notes (collectively referred to as the “financial statements”) .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Basis for Opinion</w:t>
      </w:r>
    </w:p>
    <w:p>
      <w:pPr>
        <w:spacing w:after="0" w:line="2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Critical Audit Matter</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Classification of Warrants Issued during 2025 - Refer to Note 11 to the Consolidated Financial Statements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Critical Audit Matter Description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the Company entered into agreements with certain investors pursuant to which it agreed to issue and sell shares of its common stock and warrants. The Company concluded that the warrants met the criteria for equity classification.</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20"/>
          <w:szCs w:val="20"/>
          <w:color w:val="auto"/>
        </w:rPr>
        <w:t>We identified the assessment of the classification of the warrants to purchase common stock issued as a critical audit matter. We deemed our audit of the classification as challenging from a perspective of audit effort in comparison to</w:t>
      </w:r>
    </w:p>
    <w:p>
      <w:pPr>
        <w:sectPr>
          <w:pgSz w:w="12240" w:h="15840" w:orient="portrait"/>
          <w:cols w:equalWidth="0" w:num="1">
            <w:col w:w="9360"/>
          </w:cols>
          <w:pgMar w:left="1440" w:top="1417" w:right="1440" w:bottom="45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360"/>
          </w:cols>
          <w:pgMar w:left="1440" w:top="1417" w:right="1440" w:bottom="450" w:gutter="0" w:footer="0" w:header="0"/>
          <w:type w:val="continuous"/>
        </w:sectPr>
      </w:pPr>
    </w:p>
    <w:bookmarkStart w:id="67" w:name="page68"/>
    <w:bookmarkEnd w:id="67"/>
    <w:p>
      <w:pPr>
        <w:spacing w:after="0" w:line="277" w:lineRule="auto"/>
        <w:rPr>
          <w:sz w:val="20"/>
          <w:szCs w:val="20"/>
          <w:color w:val="auto"/>
        </w:rPr>
      </w:pPr>
      <w:r>
        <w:rPr>
          <w:rFonts w:ascii="Times New Roman" w:cs="Times New Roman" w:eastAsia="Times New Roman" w:hAnsi="Times New Roman"/>
          <w:sz w:val="20"/>
          <w:szCs w:val="20"/>
          <w:color w:val="auto"/>
        </w:rPr>
        <w:t>our audit as a whole, because auditor judgment was required to evaluate the appropriate classification due to the application of technical accounting guidance.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How the Critical Audit Matter Was Addressed in the Audit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classification of the warrants included the following, among others:</w:t>
      </w:r>
    </w:p>
    <w:p>
      <w:pPr>
        <w:spacing w:after="0" w:line="231" w:lineRule="exact"/>
        <w:rPr>
          <w:sz w:val="20"/>
          <w:szCs w:val="20"/>
          <w:color w:val="auto"/>
        </w:rPr>
      </w:pPr>
    </w:p>
    <w:p>
      <w:pPr>
        <w:ind w:left="360" w:hanging="360"/>
        <w:spacing w:after="0"/>
        <w:tabs>
          <w:tab w:leader="none" w:pos="3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read the executed agreements, analyzed and evaluated key terms of the Company’s equity transaction.</w:t>
      </w:r>
    </w:p>
    <w:p>
      <w:pPr>
        <w:spacing w:after="0" w:line="26" w:lineRule="exact"/>
        <w:rPr>
          <w:sz w:val="20"/>
          <w:szCs w:val="20"/>
          <w:color w:val="auto"/>
        </w:rPr>
      </w:pPr>
    </w:p>
    <w:p>
      <w:pPr>
        <w:ind w:left="360" w:hanging="359"/>
        <w:spacing w:after="0"/>
        <w:tabs>
          <w:tab w:leader="none" w:pos="34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We evaluated management’s interpretation and application of the relevant accounting guidance to assess the appropriateness of the Company’s conclusion.</w:t>
      </w:r>
    </w:p>
    <w:p>
      <w:pPr>
        <w:spacing w:after="0" w:line="1" w:lineRule="exact"/>
        <w:rPr>
          <w:sz w:val="20"/>
          <w:szCs w:val="20"/>
          <w:color w:val="auto"/>
        </w:rPr>
      </w:pPr>
    </w:p>
    <w:p>
      <w:pPr>
        <w:ind w:left="360" w:hanging="359"/>
        <w:spacing w:after="0" w:line="248" w:lineRule="auto"/>
        <w:tabs>
          <w:tab w:leader="none" w:pos="34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We tested the consideration received by agreeing cash receipts to bank statement and related supporting documentation.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 Brightman Almagor Zohar &amp; 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Brightman Almagor Zohar &amp; Co.</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Certified Public Accountants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firm in the Deloitte Global Network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 Aviv, Israel</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26,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2013.</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360"/>
          </w:cols>
          <w:pgMar w:left="1440" w:top="1421" w:right="1440" w:bottom="45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U.S. dollars in thousands</w:t>
      </w:r>
    </w:p>
    <w:p>
      <w:pPr>
        <w:jc w:val="center"/>
        <w:spacing w:after="0"/>
        <w:rPr>
          <w:sz w:val="20"/>
          <w:szCs w:val="20"/>
          <w:color w:val="auto"/>
        </w:rPr>
      </w:pPr>
      <w:r>
        <w:rPr>
          <w:rFonts w:ascii="Times New Roman" w:cs="Times New Roman" w:eastAsia="Times New Roman" w:hAnsi="Times New Roman"/>
          <w:sz w:val="20"/>
          <w:szCs w:val="20"/>
          <w:b w:val="1"/>
          <w:bCs w:val="1"/>
          <w:color w:val="auto"/>
        </w:rPr>
        <w:t>(Except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60" w:type="dxa"/>
            <w:vAlign w:val="bottom"/>
          </w:tcPr>
          <w:p>
            <w:pPr>
              <w:spacing w:after="0"/>
              <w:rPr>
                <w:sz w:val="21"/>
                <w:szCs w:val="21"/>
                <w:color w:val="auto"/>
              </w:rPr>
            </w:pPr>
          </w:p>
        </w:tc>
        <w:tc>
          <w:tcPr>
            <w:tcW w:w="940" w:type="dxa"/>
            <w:vAlign w:val="bottom"/>
            <w:gridSpan w:val="3"/>
            <w:vMerge w:val="restart"/>
          </w:tcPr>
          <w:p>
            <w:pPr>
              <w:ind w:left="140"/>
              <w:spacing w:after="0"/>
              <w:rPr>
                <w:sz w:val="20"/>
                <w:szCs w:val="20"/>
                <w:color w:val="auto"/>
              </w:rPr>
            </w:pPr>
            <w:r>
              <w:rPr>
                <w:rFonts w:ascii="Times New Roman" w:cs="Times New Roman" w:eastAsia="Times New Roman" w:hAnsi="Times New Roman"/>
                <w:sz w:val="20"/>
                <w:szCs w:val="20"/>
                <w:b w:val="1"/>
                <w:bCs w:val="1"/>
                <w:color w:val="auto"/>
              </w:rPr>
              <w:t>Notes</w:t>
            </w:r>
          </w:p>
        </w:tc>
        <w:tc>
          <w:tcPr>
            <w:tcW w:w="340" w:type="dxa"/>
            <w:vAlign w:val="bottom"/>
          </w:tcPr>
          <w:p>
            <w:pPr>
              <w:spacing w:after="0"/>
              <w:rPr>
                <w:sz w:val="21"/>
                <w:szCs w:val="21"/>
                <w:color w:val="auto"/>
              </w:rPr>
            </w:pPr>
          </w:p>
        </w:tc>
        <w:tc>
          <w:tcPr>
            <w:tcW w:w="3200" w:type="dxa"/>
            <w:vAlign w:val="bottom"/>
            <w:gridSpan w:val="9"/>
          </w:tcPr>
          <w:p>
            <w:pPr>
              <w:jc w:val="right"/>
              <w:ind w:right="98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0" w:type="dxa"/>
            <w:vAlign w:val="bottom"/>
          </w:tcPr>
          <w:p>
            <w:pPr>
              <w:spacing w:after="0"/>
              <w:rPr>
                <w:sz w:val="1"/>
                <w:szCs w:val="1"/>
                <w:color w:val="auto"/>
              </w:rPr>
            </w:pPr>
          </w:p>
        </w:tc>
      </w:tr>
      <w:tr>
        <w:trPr>
          <w:trHeight w:val="230"/>
        </w:trPr>
        <w:tc>
          <w:tcPr>
            <w:tcW w:w="4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ASSETS</w:t>
            </w:r>
          </w:p>
        </w:tc>
        <w:tc>
          <w:tcPr>
            <w:tcW w:w="940" w:type="dxa"/>
            <w:vAlign w:val="bottom"/>
            <w:gridSpan w:val="3"/>
            <w:vMerge w:val="continue"/>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60" w:type="dxa"/>
            <w:vAlign w:val="bottom"/>
            <w:vMerge w:val="continue"/>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3,912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3,114</w:t>
            </w:r>
          </w:p>
        </w:tc>
        <w:tc>
          <w:tcPr>
            <w:tcW w:w="0" w:type="dxa"/>
            <w:vAlign w:val="bottom"/>
          </w:tcPr>
          <w:p>
            <w:pPr>
              <w:spacing w:after="0"/>
              <w:rPr>
                <w:sz w:val="1"/>
                <w:szCs w:val="1"/>
                <w:color w:val="auto"/>
              </w:rPr>
            </w:pPr>
          </w:p>
        </w:tc>
      </w:tr>
      <w:tr>
        <w:trPr>
          <w:trHeight w:val="230"/>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Marketable securities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74,680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2,356</w:t>
            </w:r>
          </w:p>
        </w:tc>
        <w:tc>
          <w:tcPr>
            <w:tcW w:w="0" w:type="dxa"/>
            <w:vAlign w:val="bottom"/>
          </w:tcPr>
          <w:p>
            <w:pPr>
              <w:spacing w:after="0"/>
              <w:rPr>
                <w:sz w:val="1"/>
                <w:szCs w:val="1"/>
                <w:color w:val="auto"/>
              </w:rPr>
            </w:pPr>
          </w:p>
        </w:tc>
      </w:tr>
      <w:tr>
        <w:trPr>
          <w:trHeight w:val="228"/>
        </w:trPr>
        <w:tc>
          <w:tcPr>
            <w:tcW w:w="4860" w:type="dxa"/>
            <w:vAlign w:val="bottom"/>
          </w:tcPr>
          <w:p>
            <w:pPr>
              <w:ind w:left="200"/>
              <w:spacing w:after="0" w:line="229" w:lineRule="exact"/>
              <w:rPr>
                <w:sz w:val="20"/>
                <w:szCs w:val="20"/>
                <w:color w:val="auto"/>
              </w:rPr>
            </w:pPr>
            <w:r>
              <w:rPr>
                <w:rFonts w:ascii="Times New Roman" w:cs="Times New Roman" w:eastAsia="Times New Roman" w:hAnsi="Times New Roman"/>
                <w:sz w:val="20"/>
                <w:szCs w:val="20"/>
                <w:color w:val="auto"/>
              </w:rPr>
              <w:t>Restricted cash</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3"/>
          </w:tcPr>
          <w:p>
            <w:pPr>
              <w:jc w:val="right"/>
              <w:ind w:right="80"/>
              <w:spacing w:after="0" w:line="229" w:lineRule="exact"/>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30"/>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Inventory</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9"/>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644</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300</w:t>
            </w:r>
          </w:p>
        </w:tc>
        <w:tc>
          <w:tcPr>
            <w:tcW w:w="0" w:type="dxa"/>
            <w:vAlign w:val="bottom"/>
          </w:tcPr>
          <w:p>
            <w:pPr>
              <w:spacing w:after="0"/>
              <w:rPr>
                <w:sz w:val="1"/>
                <w:szCs w:val="1"/>
                <w:color w:val="auto"/>
              </w:rPr>
            </w:pPr>
          </w:p>
        </w:tc>
      </w:tr>
      <w:tr>
        <w:trPr>
          <w:trHeight w:val="245"/>
        </w:trPr>
        <w:tc>
          <w:tcPr>
            <w:tcW w:w="486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Total current assets</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79,822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5,819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Long-term assets: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Restricted cash</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Long-term deposit</w:t>
            </w: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20"/>
                <w:szCs w:val="20"/>
                <w:color w:val="auto"/>
                <w:w w:val="97"/>
              </w:rPr>
              <w:t>2G</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4860" w:type="dxa"/>
            <w:vAlign w:val="bottom"/>
          </w:tcPr>
          <w:p>
            <w:pPr>
              <w:ind w:left="200"/>
              <w:spacing w:after="0" w:line="229" w:lineRule="exact"/>
              <w:rPr>
                <w:sz w:val="20"/>
                <w:szCs w:val="20"/>
                <w:color w:val="auto"/>
              </w:rPr>
            </w:pPr>
            <w:r>
              <w:rPr>
                <w:rFonts w:ascii="Times New Roman" w:cs="Times New Roman" w:eastAsia="Times New Roman" w:hAnsi="Times New Roman"/>
                <w:sz w:val="20"/>
                <w:szCs w:val="20"/>
                <w:color w:val="auto"/>
              </w:rPr>
              <w:t>Property and equipment, net</w:t>
            </w:r>
          </w:p>
        </w:tc>
        <w:tc>
          <w:tcPr>
            <w:tcW w:w="7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w w:val="99"/>
              </w:rPr>
              <w:t>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93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3"/>
          </w:tcPr>
          <w:p>
            <w:pPr>
              <w:jc w:val="right"/>
              <w:ind w:right="80"/>
              <w:spacing w:after="0" w:line="229" w:lineRule="exact"/>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49"/>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right-of-use assets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132</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81,544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LIABILITIES AND SHAREHOLDERS’ EQUITY</w:t>
            </w: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200"/>
              <w:spacing w:after="0" w:line="229" w:lineRule="exact"/>
              <w:rPr>
                <w:sz w:val="20"/>
                <w:szCs w:val="20"/>
                <w:color w:val="auto"/>
              </w:rPr>
            </w:pPr>
            <w:r>
              <w:rPr>
                <w:rFonts w:ascii="Times New Roman" w:cs="Times New Roman" w:eastAsia="Times New Roman" w:hAnsi="Times New Roman"/>
                <w:sz w:val="20"/>
                <w:szCs w:val="20"/>
                <w:color w:val="auto"/>
              </w:rPr>
              <w:t>Accounts payable</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4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511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40"/>
              <w:spacing w:after="0" w:line="229"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gridSpan w:val="3"/>
          </w:tcPr>
          <w:p>
            <w:pPr>
              <w:jc w:val="right"/>
              <w:ind w:right="60"/>
              <w:spacing w:after="0" w:line="229" w:lineRule="exact"/>
              <w:rPr>
                <w:sz w:val="20"/>
                <w:szCs w:val="20"/>
                <w:color w:val="auto"/>
              </w:rPr>
            </w:pPr>
            <w:r>
              <w:rPr>
                <w:rFonts w:ascii="Times New Roman" w:cs="Times New Roman" w:eastAsia="Times New Roman" w:hAnsi="Times New Roman"/>
                <w:sz w:val="20"/>
                <w:szCs w:val="20"/>
                <w:color w:val="auto"/>
              </w:rPr>
              <w:t>165</w:t>
            </w:r>
          </w:p>
        </w:tc>
        <w:tc>
          <w:tcPr>
            <w:tcW w:w="0" w:type="dxa"/>
            <w:vAlign w:val="bottom"/>
          </w:tcPr>
          <w:p>
            <w:pPr>
              <w:spacing w:after="0"/>
              <w:rPr>
                <w:sz w:val="1"/>
                <w:szCs w:val="1"/>
                <w:color w:val="auto"/>
              </w:rPr>
            </w:pPr>
          </w:p>
        </w:tc>
      </w:tr>
      <w:tr>
        <w:trPr>
          <w:trHeight w:val="230"/>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Lease liabilities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70</w:t>
            </w:r>
          </w:p>
        </w:tc>
        <w:tc>
          <w:tcPr>
            <w:tcW w:w="0" w:type="dxa"/>
            <w:vAlign w:val="bottom"/>
          </w:tcPr>
          <w:p>
            <w:pPr>
              <w:spacing w:after="0"/>
              <w:rPr>
                <w:sz w:val="1"/>
                <w:szCs w:val="1"/>
                <w:color w:val="auto"/>
              </w:rPr>
            </w:pPr>
          </w:p>
        </w:tc>
      </w:tr>
      <w:tr>
        <w:trPr>
          <w:trHeight w:val="249"/>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liabilities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color w:val="auto"/>
              </w:rPr>
              <w:t>2,614</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2,225</w:t>
            </w:r>
          </w:p>
        </w:tc>
        <w:tc>
          <w:tcPr>
            <w:tcW w:w="0" w:type="dxa"/>
            <w:vAlign w:val="bottom"/>
          </w:tcPr>
          <w:p>
            <w:pPr>
              <w:spacing w:after="0"/>
              <w:rPr>
                <w:sz w:val="1"/>
                <w:szCs w:val="1"/>
                <w:color w:val="auto"/>
              </w:rPr>
            </w:pPr>
          </w:p>
        </w:tc>
      </w:tr>
      <w:tr>
        <w:trPr>
          <w:trHeight w:val="264"/>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liabilities</w:t>
            </w: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3,421</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Non-current liabilities: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569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3,990</w:t>
            </w:r>
          </w:p>
        </w:tc>
        <w:tc>
          <w:tcPr>
            <w:tcW w:w="2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Shareholders’ equity:</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Common stock; $0.01 par value; 120,000,000 and</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60,000,000 shares authorized as of December 31, 2025</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and 2024, respectively; 67,158,044 and 19,399,513</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shares issued and outstanding as of December 31, 2025</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200"/>
              <w:spacing w:after="0" w:line="228" w:lineRule="exact"/>
              <w:rPr>
                <w:sz w:val="20"/>
                <w:szCs w:val="20"/>
                <w:color w:val="auto"/>
              </w:rPr>
            </w:pPr>
            <w:r>
              <w:rPr>
                <w:rFonts w:ascii="Times New Roman" w:cs="Times New Roman" w:eastAsia="Times New Roman" w:hAnsi="Times New Roman"/>
                <w:sz w:val="20"/>
                <w:szCs w:val="20"/>
                <w:color w:val="auto"/>
              </w:rPr>
              <w:t>and 2024, respectively</w:t>
            </w:r>
          </w:p>
        </w:tc>
        <w:tc>
          <w:tcPr>
            <w:tcW w:w="7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11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672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3"/>
          </w:tcPr>
          <w:p>
            <w:pPr>
              <w:jc w:val="right"/>
              <w:ind w:right="80"/>
              <w:spacing w:after="0" w:line="228" w:lineRule="exact"/>
              <w:rPr>
                <w:sz w:val="20"/>
                <w:szCs w:val="20"/>
                <w:color w:val="auto"/>
              </w:rPr>
            </w:pPr>
            <w:r>
              <w:rPr>
                <w:rFonts w:ascii="Times New Roman" w:cs="Times New Roman" w:eastAsia="Times New Roman" w:hAnsi="Times New Roman"/>
                <w:sz w:val="20"/>
                <w:szCs w:val="20"/>
                <w:color w:val="auto"/>
              </w:rPr>
              <w:t>195</w:t>
            </w:r>
          </w:p>
        </w:tc>
        <w:tc>
          <w:tcPr>
            <w:tcW w:w="0" w:type="dxa"/>
            <w:vAlign w:val="bottom"/>
          </w:tcPr>
          <w:p>
            <w:pPr>
              <w:spacing w:after="0"/>
              <w:rPr>
                <w:sz w:val="1"/>
                <w:szCs w:val="1"/>
                <w:color w:val="auto"/>
              </w:rPr>
            </w:pPr>
          </w:p>
        </w:tc>
      </w:tr>
      <w:tr>
        <w:trPr>
          <w:trHeight w:val="231"/>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180,968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94,279</w:t>
            </w:r>
          </w:p>
        </w:tc>
        <w:tc>
          <w:tcPr>
            <w:tcW w:w="0" w:type="dxa"/>
            <w:vAlign w:val="bottom"/>
          </w:tcPr>
          <w:p>
            <w:pPr>
              <w:spacing w:after="0"/>
              <w:rPr>
                <w:sz w:val="1"/>
                <w:szCs w:val="1"/>
                <w:color w:val="auto"/>
              </w:rPr>
            </w:pPr>
          </w:p>
        </w:tc>
      </w:tr>
      <w:tr>
        <w:trPr>
          <w:trHeight w:val="249"/>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(104,086)</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(90,944)</w:t>
            </w: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Total shareholders’ equity</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77,554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and shareholders’ equity</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81,544</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6,031</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accompanying notes are an integral part of these consolidated financial statements.</w:t>
      </w:r>
    </w:p>
    <w:p>
      <w:pPr>
        <w:sectPr>
          <w:pgSz w:w="12240" w:h="15840" w:orient="portrait"/>
          <w:cols w:equalWidth="0" w:num="1">
            <w:col w:w="9360"/>
          </w:cols>
          <w:pgMar w:left="1440" w:top="1417"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360"/>
          </w:cols>
          <w:pgMar w:left="1440" w:top="1417" w:right="1440" w:bottom="45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U.S. dollars in thousands</w:t>
      </w:r>
    </w:p>
    <w:p>
      <w:pPr>
        <w:jc w:val="center"/>
        <w:spacing w:after="0"/>
        <w:rPr>
          <w:sz w:val="20"/>
          <w:szCs w:val="20"/>
          <w:color w:val="auto"/>
        </w:rPr>
      </w:pPr>
      <w:r>
        <w:rPr>
          <w:rFonts w:ascii="Times New Roman" w:cs="Times New Roman" w:eastAsia="Times New Roman" w:hAnsi="Times New Roman"/>
          <w:sz w:val="20"/>
          <w:szCs w:val="20"/>
          <w:b w:val="1"/>
          <w:bCs w:val="1"/>
          <w:color w:val="auto"/>
        </w:rPr>
        <w:t>(Except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8"/>
          </w:tcPr>
          <w:p>
            <w:pPr>
              <w:jc w:val="right"/>
              <w:ind w:right="92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0" w:type="dxa"/>
            <w:vAlign w:val="bottom"/>
          </w:tcPr>
          <w:p>
            <w:pPr>
              <w:spacing w:after="0"/>
              <w:rPr>
                <w:sz w:val="1"/>
                <w:szCs w:val="1"/>
                <w:color w:val="auto"/>
              </w:rPr>
            </w:pPr>
          </w:p>
        </w:tc>
      </w:tr>
      <w:tr>
        <w:trPr>
          <w:trHeight w:val="253"/>
        </w:trPr>
        <w:tc>
          <w:tcPr>
            <w:tcW w:w="4860" w:type="dxa"/>
            <w:vAlign w:val="bottom"/>
          </w:tcPr>
          <w:p>
            <w:pPr>
              <w:spacing w:after="0"/>
              <w:rPr>
                <w:sz w:val="21"/>
                <w:szCs w:val="21"/>
                <w:color w:val="auto"/>
              </w:rPr>
            </w:pPr>
          </w:p>
        </w:tc>
        <w:tc>
          <w:tcPr>
            <w:tcW w:w="7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Notes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Research and development, net</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86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jc w:val="right"/>
              <w:ind w:right="140"/>
              <w:spacing w:after="0" w:line="191"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20"/>
                <w:szCs w:val="20"/>
                <w:color w:val="auto"/>
              </w:rPr>
              <w:t>(6,283)</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jc w:val="right"/>
              <w:ind w:right="35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20"/>
                <w:szCs w:val="20"/>
                <w:color w:val="auto"/>
              </w:rPr>
              <w:t>(6,630)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Sales, general and administrative</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14</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(8,460)</w:t>
            </w: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(4,995)</w:t>
            </w:r>
          </w:p>
        </w:tc>
        <w:tc>
          <w:tcPr>
            <w:tcW w:w="0" w:type="dxa"/>
            <w:vAlign w:val="bottom"/>
          </w:tcPr>
          <w:p>
            <w:pPr>
              <w:spacing w:after="0"/>
              <w:rPr>
                <w:sz w:val="1"/>
                <w:szCs w:val="1"/>
                <w:color w:val="auto"/>
              </w:rPr>
            </w:pPr>
          </w:p>
        </w:tc>
      </w:tr>
      <w:tr>
        <w:trPr>
          <w:trHeight w:val="245"/>
        </w:trPr>
        <w:tc>
          <w:tcPr>
            <w:tcW w:w="4860" w:type="dxa"/>
            <w:vAlign w:val="bottom"/>
          </w:tcPr>
          <w:p>
            <w:pPr>
              <w:ind w:left="400"/>
              <w:spacing w:after="0" w:line="227" w:lineRule="exact"/>
              <w:rPr>
                <w:sz w:val="20"/>
                <w:szCs w:val="20"/>
                <w:color w:val="auto"/>
              </w:rPr>
            </w:pPr>
            <w:r>
              <w:rPr>
                <w:rFonts w:ascii="Times New Roman" w:cs="Times New Roman" w:eastAsia="Times New Roman" w:hAnsi="Times New Roman"/>
                <w:sz w:val="20"/>
                <w:szCs w:val="20"/>
                <w:color w:val="auto"/>
              </w:rPr>
              <w:t>Operating loss</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(14,743)</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(11,625)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Financing income, net</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182</w:t>
            </w:r>
          </w:p>
        </w:tc>
        <w:tc>
          <w:tcPr>
            <w:tcW w:w="0" w:type="dxa"/>
            <w:vAlign w:val="bottom"/>
          </w:tcPr>
          <w:p>
            <w:pPr>
              <w:spacing w:after="0"/>
              <w:rPr>
                <w:sz w:val="1"/>
                <w:szCs w:val="1"/>
                <w:color w:val="auto"/>
              </w:rPr>
            </w:pPr>
          </w:p>
        </w:tc>
      </w:tr>
      <w:tr>
        <w:trPr>
          <w:trHeight w:val="249"/>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income</w:t>
            </w:r>
          </w:p>
        </w:tc>
        <w:tc>
          <w:tcPr>
            <w:tcW w:w="7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10G</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5"/>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(13,142)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Basic and diluted net loss per share</w:t>
            </w:r>
          </w:p>
        </w:tc>
        <w:tc>
          <w:tcPr>
            <w:tcW w:w="760" w:type="dxa"/>
            <w:vAlign w:val="bottom"/>
          </w:tcPr>
          <w:p>
            <w:pPr>
              <w:spacing w:after="0"/>
              <w:rPr>
                <w:sz w:val="24"/>
                <w:szCs w:val="24"/>
                <w:color w:val="auto"/>
              </w:rPr>
            </w:pP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(0.29)</w:t>
            </w:r>
          </w:p>
        </w:tc>
        <w:tc>
          <w:tcPr>
            <w:tcW w:w="540" w:type="dxa"/>
            <w:vAlign w:val="bottom"/>
            <w:gridSpan w:val="2"/>
          </w:tcPr>
          <w:p>
            <w:pPr>
              <w:jc w:val="right"/>
              <w:ind w:right="337"/>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(0.73)</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Basic and diluted weighted average common shares</w:t>
            </w: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8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auto"/>
              </w:rPr>
              <w:t>outstanding</w:t>
            </w: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45,790,362</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15,644,511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accompanying notes are an integral part of these consolidated financial statements.</w:t>
      </w:r>
    </w:p>
    <w:p>
      <w:pPr>
        <w:sectPr>
          <w:pgSz w:w="12240" w:h="15840" w:orient="portrait"/>
          <w:cols w:equalWidth="0" w:num="1">
            <w:col w:w="9360"/>
          </w:cols>
          <w:pgMar w:left="1440" w:top="1417"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360"/>
          </w:cols>
          <w:pgMar w:left="1440" w:top="1417" w:right="1440" w:bottom="45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U.S. dollars in thousands</w:t>
      </w:r>
    </w:p>
    <w:p>
      <w:pPr>
        <w:jc w:val="center"/>
        <w:spacing w:after="0"/>
        <w:rPr>
          <w:sz w:val="20"/>
          <w:szCs w:val="20"/>
          <w:color w:val="auto"/>
        </w:rPr>
      </w:pPr>
      <w:r>
        <w:rPr>
          <w:rFonts w:ascii="Times New Roman" w:cs="Times New Roman" w:eastAsia="Times New Roman" w:hAnsi="Times New Roman"/>
          <w:sz w:val="20"/>
          <w:szCs w:val="20"/>
          <w:b w:val="1"/>
          <w:bCs w:val="1"/>
          <w:color w:val="auto"/>
        </w:rPr>
        <w:t>(Except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Additional</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53"/>
        </w:trPr>
        <w:tc>
          <w:tcPr>
            <w:tcW w:w="3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80" w:type="dxa"/>
            <w:vAlign w:val="bottom"/>
            <w:gridSpan w:val="8"/>
          </w:tcPr>
          <w:p>
            <w:pPr>
              <w:ind w:left="280"/>
              <w:spacing w:after="0"/>
              <w:rPr>
                <w:sz w:val="20"/>
                <w:szCs w:val="20"/>
                <w:color w:val="auto"/>
              </w:rPr>
            </w:pPr>
            <w:r>
              <w:rPr>
                <w:rFonts w:ascii="Times New Roman" w:cs="Times New Roman" w:eastAsia="Times New Roman" w:hAnsi="Times New Roman"/>
                <w:sz w:val="20"/>
                <w:szCs w:val="20"/>
                <w:b w:val="1"/>
                <w:bCs w:val="1"/>
                <w:color w:val="auto"/>
              </w:rPr>
              <w:t>Common Stock</w:t>
            </w:r>
          </w:p>
        </w:tc>
        <w:tc>
          <w:tcPr>
            <w:tcW w:w="10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w w:val="99"/>
              </w:rPr>
              <w:t>Paid-In</w:t>
            </w: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1280" w:type="dxa"/>
            <w:vAlign w:val="bottom"/>
            <w:gridSpan w:val="5"/>
          </w:tcPr>
          <w:p>
            <w:pPr>
              <w:ind w:left="20"/>
              <w:spacing w:after="0"/>
              <w:rPr>
                <w:sz w:val="20"/>
                <w:szCs w:val="20"/>
                <w:color w:val="auto"/>
              </w:rPr>
            </w:pPr>
            <w:r>
              <w:rPr>
                <w:rFonts w:ascii="Times New Roman" w:cs="Times New Roman" w:eastAsia="Times New Roman" w:hAnsi="Times New Roman"/>
                <w:sz w:val="20"/>
                <w:szCs w:val="20"/>
                <w:b w:val="1"/>
                <w:bCs w:val="1"/>
                <w:color w:val="auto"/>
              </w:rPr>
              <w:t>Shareholders’</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Amount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Deficit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Equity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Balances, December 31, 2023</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11,707,317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118</w:t>
            </w:r>
          </w:p>
        </w:tc>
        <w:tc>
          <w:tcPr>
            <w:tcW w:w="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83,884</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(79,501)</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4,501</w:t>
            </w:r>
          </w:p>
        </w:tc>
        <w:tc>
          <w:tcPr>
            <w:tcW w:w="0" w:type="dxa"/>
            <w:vAlign w:val="bottom"/>
          </w:tcPr>
          <w:p>
            <w:pPr>
              <w:spacing w:after="0"/>
              <w:rPr>
                <w:sz w:val="1"/>
                <w:szCs w:val="1"/>
                <w:color w:val="auto"/>
              </w:rPr>
            </w:pPr>
          </w:p>
        </w:tc>
      </w:tr>
      <w:tr>
        <w:trPr>
          <w:trHeight w:val="424"/>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and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warrants, net (1)</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3,252,351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4,386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4,419</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relating to</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settlement agreement (2)</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1,005,965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1,101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1,111</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under the at-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the-market offering program, net (3)</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3,433,880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3,483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3,517</w:t>
            </w:r>
          </w:p>
        </w:tc>
        <w:tc>
          <w:tcPr>
            <w:tcW w:w="0" w:type="dxa"/>
            <w:vAlign w:val="bottom"/>
          </w:tcPr>
          <w:p>
            <w:pPr>
              <w:spacing w:after="0"/>
              <w:rPr>
                <w:sz w:val="1"/>
                <w:szCs w:val="1"/>
                <w:color w:val="auto"/>
              </w:rPr>
            </w:pPr>
          </w:p>
        </w:tc>
      </w:tr>
      <w:tr>
        <w:trPr>
          <w:trHeight w:val="228"/>
        </w:trPr>
        <w:tc>
          <w:tcPr>
            <w:tcW w:w="338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Share-based compensation</w:t>
            </w:r>
          </w:p>
        </w:tc>
        <w:tc>
          <w:tcPr>
            <w:tcW w:w="96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line="229" w:lineRule="exact"/>
              <w:rPr>
                <w:sz w:val="20"/>
                <w:szCs w:val="20"/>
                <w:color w:val="auto"/>
              </w:rPr>
            </w:pPr>
            <w:r>
              <w:rPr>
                <w:rFonts w:ascii="Times New Roman" w:cs="Times New Roman" w:eastAsia="Times New Roman" w:hAnsi="Times New Roman"/>
                <w:sz w:val="20"/>
                <w:szCs w:val="20"/>
                <w:color w:val="auto"/>
              </w:rPr>
              <w:t>1,425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60"/>
              <w:spacing w:after="0" w:line="229" w:lineRule="exact"/>
              <w:rPr>
                <w:sz w:val="20"/>
                <w:szCs w:val="20"/>
                <w:color w:val="auto"/>
              </w:rPr>
            </w:pPr>
            <w:r>
              <w:rPr>
                <w:rFonts w:ascii="Times New Roman" w:cs="Times New Roman" w:eastAsia="Times New Roman" w:hAnsi="Times New Roman"/>
                <w:sz w:val="20"/>
                <w:szCs w:val="20"/>
                <w:color w:val="auto"/>
              </w:rPr>
              <w:t>1,425</w:t>
            </w:r>
          </w:p>
        </w:tc>
        <w:tc>
          <w:tcPr>
            <w:tcW w:w="0" w:type="dxa"/>
            <w:vAlign w:val="bottom"/>
          </w:tcPr>
          <w:p>
            <w:pPr>
              <w:spacing w:after="0"/>
              <w:rPr>
                <w:sz w:val="1"/>
                <w:szCs w:val="1"/>
                <w:color w:val="auto"/>
              </w:rPr>
            </w:pPr>
          </w:p>
        </w:tc>
      </w:tr>
      <w:tr>
        <w:trPr>
          <w:trHeight w:val="249"/>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(11,443)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(11,443)</w:t>
            </w:r>
          </w:p>
        </w:tc>
        <w:tc>
          <w:tcPr>
            <w:tcW w:w="0" w:type="dxa"/>
            <w:vAlign w:val="bottom"/>
          </w:tcPr>
          <w:p>
            <w:pPr>
              <w:spacing w:after="0"/>
              <w:rPr>
                <w:sz w:val="1"/>
                <w:szCs w:val="1"/>
                <w:color w:val="auto"/>
              </w:rPr>
            </w:pPr>
          </w:p>
        </w:tc>
      </w:tr>
      <w:tr>
        <w:trPr>
          <w:trHeight w:val="237"/>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Balances, December 31, 2024</w:t>
            </w: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19,399,513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94,279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(90,944)</w:t>
            </w:r>
          </w:p>
        </w:tc>
        <w:tc>
          <w:tcPr>
            <w:tcW w:w="2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3,530</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Issuance of common stock and</w:t>
            </w: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warrants, net (4)</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27,880,955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52,452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52,731</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under the at-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8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the-market offering program, net (5)</w:t>
            </w:r>
          </w:p>
        </w:tc>
        <w:tc>
          <w:tcPr>
            <w:tcW w:w="96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0"/>
                <w:szCs w:val="20"/>
                <w:color w:val="auto"/>
              </w:rPr>
              <w:t>842,606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line="229" w:lineRule="exact"/>
              <w:rPr>
                <w:sz w:val="20"/>
                <w:szCs w:val="20"/>
                <w:color w:val="auto"/>
              </w:rPr>
            </w:pPr>
            <w:r>
              <w:rPr>
                <w:rFonts w:ascii="Times New Roman" w:cs="Times New Roman" w:eastAsia="Times New Roman" w:hAnsi="Times New Roman"/>
                <w:sz w:val="20"/>
                <w:szCs w:val="20"/>
                <w:color w:val="auto"/>
              </w:rPr>
              <w:t>989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60"/>
              <w:spacing w:after="0" w:line="229" w:lineRule="exact"/>
              <w:rPr>
                <w:sz w:val="20"/>
                <w:szCs w:val="20"/>
                <w:color w:val="auto"/>
              </w:rPr>
            </w:pPr>
            <w:r>
              <w:rPr>
                <w:rFonts w:ascii="Times New Roman" w:cs="Times New Roman" w:eastAsia="Times New Roman" w:hAnsi="Times New Roman"/>
                <w:sz w:val="20"/>
                <w:szCs w:val="20"/>
                <w:color w:val="auto"/>
              </w:rPr>
              <w:t>997</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Issuance of common stock upon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exercise of warrants, net (6)</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18,987,752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190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32,190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32,380</w:t>
            </w: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Exercise of options</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47,218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1,057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1,057</w:t>
            </w:r>
          </w:p>
        </w:tc>
        <w:tc>
          <w:tcPr>
            <w:tcW w:w="0" w:type="dxa"/>
            <w:vAlign w:val="bottom"/>
          </w:tcPr>
          <w:p>
            <w:pPr>
              <w:spacing w:after="0"/>
              <w:rPr>
                <w:sz w:val="1"/>
                <w:szCs w:val="1"/>
                <w:color w:val="auto"/>
              </w:rPr>
            </w:pPr>
          </w:p>
        </w:tc>
      </w:tr>
      <w:tr>
        <w:trPr>
          <w:trHeight w:val="249"/>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(13,142)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(13,142)</w:t>
            </w:r>
          </w:p>
        </w:tc>
        <w:tc>
          <w:tcPr>
            <w:tcW w:w="0" w:type="dxa"/>
            <w:vAlign w:val="bottom"/>
          </w:tcPr>
          <w:p>
            <w:pPr>
              <w:spacing w:after="0"/>
              <w:rPr>
                <w:sz w:val="1"/>
                <w:szCs w:val="1"/>
                <w:color w:val="auto"/>
              </w:rPr>
            </w:pPr>
          </w:p>
        </w:tc>
      </w:tr>
      <w:tr>
        <w:trPr>
          <w:trHeight w:val="237"/>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Balances, December 31, 2025</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67,158,044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180,968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(104,086</w:t>
            </w: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77,554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720" w:hanging="72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of issuance costs in the amount of $661.</w:t>
      </w:r>
    </w:p>
    <w:p>
      <w:pPr>
        <w:spacing w:after="0" w:line="28"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note 10F.</w:t>
      </w:r>
    </w:p>
    <w:p>
      <w:pPr>
        <w:ind w:left="720" w:hanging="72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of issuance costs in the amount of $239.</w:t>
      </w:r>
    </w:p>
    <w:p>
      <w:pPr>
        <w:ind w:left="720" w:hanging="72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of issuance costs in the amount of $5,155, of which $101 had not been paid as of December 31, 2025.</w:t>
      </w:r>
    </w:p>
    <w:p>
      <w:pPr>
        <w:ind w:left="720" w:hanging="72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of issuance costs in the amount of $65.</w:t>
      </w:r>
    </w:p>
    <w:p>
      <w:pPr>
        <w:ind w:left="720" w:hanging="720"/>
        <w:spacing w:after="0"/>
        <w:tabs>
          <w:tab w:leader="none" w:pos="7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of issuance costs in the amount of $2,370.</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*Less than $1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accompanying notes are an integral part of these consolidated financial statements.</w:t>
      </w:r>
    </w:p>
    <w:p>
      <w:pPr>
        <w:sectPr>
          <w:pgSz w:w="12240" w:h="15840" w:orient="portrait"/>
          <w:cols w:equalWidth="0" w:num="1">
            <w:col w:w="9360"/>
          </w:cols>
          <w:pgMar w:left="1440" w:top="1417"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9360"/>
          </w:cols>
          <w:pgMar w:left="1440" w:top="1417" w:right="1440" w:bottom="45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U.S. dollars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9"/>
          </w:tcPr>
          <w:p>
            <w:pPr>
              <w:jc w:val="right"/>
              <w:ind w:right="920"/>
              <w:spacing w:after="0"/>
              <w:rPr>
                <w:sz w:val="20"/>
                <w:szCs w:val="20"/>
                <w:color w:val="auto"/>
              </w:rPr>
            </w:pPr>
            <w:r>
              <w:rPr>
                <w:rFonts w:ascii="Times New Roman" w:cs="Times New Roman" w:eastAsia="Times New Roman" w:hAnsi="Times New Roman"/>
                <w:sz w:val="20"/>
                <w:szCs w:val="20"/>
                <w:b w:val="1"/>
                <w:bCs w:val="1"/>
                <w:color w:val="auto"/>
              </w:rPr>
              <w:t>For the Years Ended</w:t>
            </w:r>
          </w:p>
        </w:tc>
        <w:tc>
          <w:tcPr>
            <w:tcW w:w="0" w:type="dxa"/>
            <w:vAlign w:val="bottom"/>
          </w:tcPr>
          <w:p>
            <w:pPr>
              <w:spacing w:after="0"/>
              <w:rPr>
                <w:sz w:val="1"/>
                <w:szCs w:val="1"/>
                <w:color w:val="auto"/>
              </w:rPr>
            </w:pPr>
          </w:p>
        </w:tc>
      </w:tr>
      <w:tr>
        <w:trPr>
          <w:trHeight w:val="253"/>
        </w:trPr>
        <w:tc>
          <w:tcPr>
            <w:tcW w:w="5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19"/>
                <w:szCs w:val="19"/>
                <w:color w:val="auto"/>
              </w:rPr>
            </w:pPr>
          </w:p>
        </w:tc>
        <w:tc>
          <w:tcPr>
            <w:tcW w:w="4294967277"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7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77"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(13,142)</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(11,443)</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flows used in operating</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activities: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780" w:type="dxa"/>
            <w:vAlign w:val="bottom"/>
          </w:tcPr>
          <w:p>
            <w:pPr>
              <w:ind w:left="200"/>
              <w:spacing w:after="0" w:line="229" w:lineRule="exact"/>
              <w:rPr>
                <w:sz w:val="20"/>
                <w:szCs w:val="20"/>
                <w:color w:val="auto"/>
              </w:rPr>
            </w:pPr>
            <w:r>
              <w:rPr>
                <w:rFonts w:ascii="Times New Roman" w:cs="Times New Roman" w:eastAsia="Times New Roman" w:hAnsi="Times New Roman"/>
                <w:sz w:val="20"/>
                <w:szCs w:val="20"/>
                <w:color w:val="auto"/>
              </w:rPr>
              <w:t>Depreciation of property and equipment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0"/>
                <w:szCs w:val="20"/>
                <w:color w:val="auto"/>
              </w:rPr>
              <w:t>47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91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income and unrealized gains from marketable securities,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30"/>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Share-based compensation</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1,057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Changes in assets and liabilities: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Inventory</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(584)</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780" w:type="dxa"/>
            <w:vAlign w:val="bottom"/>
          </w:tcPr>
          <w:p>
            <w:pPr>
              <w:ind w:left="200"/>
              <w:spacing w:after="0" w:line="229" w:lineRule="exact"/>
              <w:rPr>
                <w:sz w:val="20"/>
                <w:szCs w:val="20"/>
                <w:color w:val="auto"/>
              </w:rPr>
            </w:pPr>
            <w:r>
              <w:rPr>
                <w:rFonts w:ascii="Times New Roman" w:cs="Times New Roman" w:eastAsia="Times New Roman" w:hAnsi="Times New Roman"/>
                <w:sz w:val="20"/>
                <w:szCs w:val="20"/>
                <w:color w:val="auto"/>
              </w:rPr>
              <w:t>Prepaid expenses and other assets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4"/>
          </w:tcPr>
          <w:p>
            <w:pPr>
              <w:jc w:val="right"/>
              <w:ind w:right="200"/>
              <w:spacing w:after="0" w:line="229" w:lineRule="exact"/>
              <w:rPr>
                <w:sz w:val="20"/>
                <w:szCs w:val="20"/>
                <w:color w:val="auto"/>
              </w:rPr>
            </w:pPr>
            <w:r>
              <w:rPr>
                <w:rFonts w:ascii="Times New Roman" w:cs="Times New Roman" w:eastAsia="Times New Roman" w:hAnsi="Times New Roman"/>
                <w:sz w:val="20"/>
                <w:szCs w:val="20"/>
                <w:color w:val="auto"/>
              </w:rPr>
              <w:t>(182)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3"/>
          </w:tcPr>
          <w:p>
            <w:pPr>
              <w:jc w:val="right"/>
              <w:ind w:right="80"/>
              <w:spacing w:after="0" w:line="229" w:lineRule="exact"/>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230"/>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 and accrued liabilities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495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long-term deposit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(737)</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Insurance recovery related to legal settlement and legal expenses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received in cash</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Legal settlement paid in cash</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294967277"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(1,100)</w:t>
            </w:r>
          </w:p>
        </w:tc>
        <w:tc>
          <w:tcPr>
            <w:tcW w:w="0" w:type="dxa"/>
            <w:vAlign w:val="bottom"/>
          </w:tcPr>
          <w:p>
            <w:pPr>
              <w:spacing w:after="0"/>
              <w:rPr>
                <w:sz w:val="1"/>
                <w:szCs w:val="1"/>
                <w:color w:val="auto"/>
              </w:rPr>
            </w:pPr>
          </w:p>
        </w:tc>
      </w:tr>
      <w:tr>
        <w:trPr>
          <w:trHeight w:val="230"/>
        </w:trPr>
        <w:tc>
          <w:tcPr>
            <w:tcW w:w="5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 cash flows used in operating activities</w:t>
            </w: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(13,046)</w:t>
            </w:r>
          </w:p>
        </w:tc>
        <w:tc>
          <w:tcPr>
            <w:tcW w:w="4294967277"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(8,827)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78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Investing activities:</w:t>
            </w: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294967277"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Purchase of property and equipment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(60)</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28"/>
        </w:trPr>
        <w:tc>
          <w:tcPr>
            <w:tcW w:w="5780" w:type="dxa"/>
            <w:vAlign w:val="bottom"/>
          </w:tcPr>
          <w:p>
            <w:pPr>
              <w:ind w:left="200"/>
              <w:spacing w:after="0" w:line="229" w:lineRule="exact"/>
              <w:rPr>
                <w:sz w:val="20"/>
                <w:szCs w:val="20"/>
                <w:color w:val="auto"/>
              </w:rPr>
            </w:pPr>
            <w:r>
              <w:rPr>
                <w:rFonts w:ascii="Times New Roman" w:cs="Times New Roman" w:eastAsia="Times New Roman" w:hAnsi="Times New Roman"/>
                <w:sz w:val="20"/>
                <w:szCs w:val="20"/>
                <w:color w:val="auto"/>
              </w:rPr>
              <w:t>Proceeds from maturities of marketable securities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2,500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Purchase of marketable securities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(82,926)</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(5,120)</w:t>
            </w:r>
          </w:p>
        </w:tc>
        <w:tc>
          <w:tcPr>
            <w:tcW w:w="0" w:type="dxa"/>
            <w:vAlign w:val="bottom"/>
          </w:tcPr>
          <w:p>
            <w:pPr>
              <w:spacing w:after="0"/>
              <w:rPr>
                <w:sz w:val="1"/>
                <w:szCs w:val="1"/>
                <w:color w:val="auto"/>
              </w:rPr>
            </w:pPr>
          </w:p>
        </w:tc>
      </w:tr>
      <w:tr>
        <w:trPr>
          <w:trHeight w:val="249"/>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Proceeds from sales of marketable securities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10,602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 cash flows (used in) provided by investing activities</w:t>
            </w: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(72,384)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780" w:type="dxa"/>
            <w:vAlign w:val="bottom"/>
          </w:tcPr>
          <w:p>
            <w:pPr>
              <w:spacing w:after="0" w:line="211" w:lineRule="exact"/>
              <w:rPr>
                <w:sz w:val="20"/>
                <w:szCs w:val="20"/>
                <w:color w:val="auto"/>
              </w:rPr>
            </w:pPr>
            <w:r>
              <w:rPr>
                <w:rFonts w:ascii="Times New Roman" w:cs="Times New Roman" w:eastAsia="Times New Roman" w:hAnsi="Times New Roman"/>
                <w:sz w:val="20"/>
                <w:szCs w:val="20"/>
                <w:color w:val="auto"/>
              </w:rPr>
              <w:t>Financing activities:</w:t>
            </w: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294967277"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common stock and warrants, net of issuance costs</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86,239</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Exercise of options</w:t>
            </w: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 cash flows provided by financing activities</w:t>
            </w: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86,240</w:t>
            </w:r>
          </w:p>
        </w:tc>
        <w:tc>
          <w:tcPr>
            <w:tcW w:w="0" w:type="dxa"/>
            <w:vAlign w:val="bottom"/>
            <w:tcBorders>
              <w:bottom w:val="single" w:sz="8" w:color="auto"/>
            </w:tcBorders>
            <w:gridSpan w:val="2"/>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Increase in cash, cash equivalents and restricted cash</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810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cash equivalents and restricted cash at beginning of year</w:t>
            </w:r>
          </w:p>
        </w:tc>
        <w:tc>
          <w:tcPr>
            <w:tcW w:w="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3,163</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5780" w:type="dxa"/>
            <w:vAlign w:val="bottom"/>
          </w:tcPr>
          <w:p>
            <w:pPr>
              <w:ind w:left="200"/>
              <w:spacing w:after="0" w:line="214" w:lineRule="exact"/>
              <w:rPr>
                <w:sz w:val="20"/>
                <w:szCs w:val="20"/>
                <w:color w:val="auto"/>
              </w:rPr>
            </w:pPr>
            <w:r>
              <w:rPr>
                <w:rFonts w:ascii="Times New Roman" w:cs="Times New Roman" w:eastAsia="Times New Roman" w:hAnsi="Times New Roman"/>
                <w:sz w:val="20"/>
                <w:szCs w:val="20"/>
                <w:color w:val="auto"/>
              </w:rPr>
              <w:t>Cash, cash equivalents and restricted cash at ending of year</w:t>
            </w:r>
          </w:p>
        </w:tc>
        <w:tc>
          <w:tcPr>
            <w:tcW w:w="20" w:type="dxa"/>
            <w:vAlign w:val="bottom"/>
          </w:tcPr>
          <w:p>
            <w:pPr>
              <w:spacing w:after="0"/>
              <w:rPr>
                <w:sz w:val="18"/>
                <w:szCs w:val="18"/>
                <w:color w:val="auto"/>
              </w:rPr>
            </w:pPr>
          </w:p>
        </w:tc>
        <w:tc>
          <w:tcPr>
            <w:tcW w:w="340" w:type="dxa"/>
            <w:vAlign w:val="bottom"/>
          </w:tcPr>
          <w:p>
            <w:pPr>
              <w:jc w:val="right"/>
              <w:ind w:right="14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gridSpan w:val="3"/>
          </w:tcPr>
          <w:p>
            <w:pPr>
              <w:jc w:val="right"/>
              <w:spacing w:after="0" w:line="214" w:lineRule="exact"/>
              <w:rPr>
                <w:sz w:val="20"/>
                <w:szCs w:val="20"/>
                <w:color w:val="auto"/>
              </w:rPr>
            </w:pPr>
            <w:r>
              <w:rPr>
                <w:rFonts w:ascii="Times New Roman" w:cs="Times New Roman" w:eastAsia="Times New Roman" w:hAnsi="Times New Roman"/>
                <w:sz w:val="20"/>
                <w:szCs w:val="20"/>
                <w:color w:val="auto"/>
              </w:rPr>
              <w:t>3,973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ind w:right="320"/>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3,163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Supplemental disclosure of non-cash investing and financing</w:t>
            </w: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activities:</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costs not paid</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260" w:type="dxa"/>
            <w:vAlign w:val="bottom"/>
          </w:tcPr>
          <w:p>
            <w:pPr>
              <w:spacing w:after="0"/>
              <w:rPr>
                <w:sz w:val="22"/>
                <w:szCs w:val="22"/>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57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Legal settlement settled through issuance of common stock</w:t>
            </w:r>
          </w:p>
        </w:tc>
        <w:tc>
          <w:tcPr>
            <w:tcW w:w="20" w:type="dxa"/>
            <w:vAlign w:val="bottom"/>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294967277"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106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5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jc w:val="right"/>
              <w:ind w:right="14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520" w:type="dxa"/>
            <w:vAlign w:val="bottom"/>
            <w:tcBorders>
              <w:bottom w:val="single" w:sz="8" w:color="auto"/>
            </w:tcBorders>
          </w:tcPr>
          <w:p>
            <w:pPr>
              <w:jc w:val="right"/>
              <w:ind w:right="32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1,111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Right-of-use assets obtained in exchange for lease liabilities</w:t>
            </w: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7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40" w:type="dxa"/>
            <w:vAlign w:val="bottom"/>
            <w:tcBorders>
              <w:bottom w:val="single" w:sz="8" w:color="auto"/>
            </w:tcBorders>
          </w:tcPr>
          <w:p>
            <w:pPr>
              <w:jc w:val="right"/>
              <w:ind w:right="140"/>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893</w:t>
            </w:r>
          </w:p>
        </w:tc>
        <w:tc>
          <w:tcPr>
            <w:tcW w:w="260" w:type="dxa"/>
            <w:vAlign w:val="bottom"/>
            <w:gridSpan w:val="3"/>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20" w:type="dxa"/>
            <w:vAlign w:val="bottom"/>
            <w:tcBorders>
              <w:bottom w:val="single" w:sz="8" w:color="auto"/>
            </w:tcBorders>
          </w:tcPr>
          <w:p>
            <w:pPr>
              <w:jc w:val="right"/>
              <w:ind w:right="320"/>
              <w:spacing w:after="0" w:line="218"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98</w:t>
            </w:r>
          </w:p>
        </w:tc>
        <w:tc>
          <w:tcPr>
            <w:tcW w:w="2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Accrued bonus settled through grant of stock-option awards</w:t>
            </w: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4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4294967277"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520" w:type="dxa"/>
            <w:vAlign w:val="bottom"/>
            <w:tcBorders>
              <w:bottom w:val="single" w:sz="8" w:color="auto"/>
            </w:tcBorders>
          </w:tcPr>
          <w:p>
            <w:pPr>
              <w:jc w:val="right"/>
              <w:ind w:right="3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7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Deferred issuance costs</w:t>
            </w:r>
          </w:p>
        </w:tc>
        <w:tc>
          <w:tcPr>
            <w:tcW w:w="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578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4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30</w:t>
            </w: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jc w:val="right"/>
              <w:ind w:right="320"/>
              <w:spacing w:after="0" w:line="201"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accompanying notes are an integral part of these consolidated financial statements.</w:t>
      </w:r>
    </w:p>
    <w:p>
      <w:pPr>
        <w:sectPr>
          <w:pgSz w:w="12240" w:h="15840" w:orient="portrait"/>
          <w:cols w:equalWidth="0" w:num="1">
            <w:col w:w="9360"/>
          </w:cols>
          <w:pgMar w:left="1440" w:top="1417"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9360"/>
          </w:cols>
          <w:pgMar w:left="1440" w:top="1417" w:right="1440" w:bottom="45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U.S. dollars in thousands</w:t>
      </w:r>
    </w:p>
    <w:p>
      <w:pPr>
        <w:jc w:val="center"/>
        <w:spacing w:after="0"/>
        <w:rPr>
          <w:sz w:val="20"/>
          <w:szCs w:val="20"/>
          <w:color w:val="auto"/>
        </w:rPr>
      </w:pPr>
      <w:r>
        <w:rPr>
          <w:rFonts w:ascii="Times New Roman" w:cs="Times New Roman" w:eastAsia="Times New Roman" w:hAnsi="Times New Roman"/>
          <w:sz w:val="20"/>
          <w:szCs w:val="20"/>
          <w:b w:val="1"/>
          <w:bCs w:val="1"/>
          <w:color w:val="auto"/>
        </w:rPr>
        <w:t>(Except share and per share data)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GENERAL</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Description of business:</w:t>
      </w: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Microbot Medical Inc. (the “Company”) is a medical device company specializing in the research, design and development of next generation robotic endoluminal surgery devices targeting the minimally invasive surgery space. The Company is primarily focused on leveraging its robotic technologies with the goal of redefining surgical robotics while improving surgical outcomes for patients.</w:t>
      </w:r>
    </w:p>
    <w:p>
      <w:pPr>
        <w:spacing w:after="0" w:line="18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Using the Company’s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technological platform, the Company has developed the first-ever fully disposable robot for various endovascular interventional procedures.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on the peripheral vasculature market. It is designed to eliminate the need for extensive capital equipment requiring dedicated Cath-lab rooms as well as dedicated staff.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and its subsidiary are sometimes collectively referred to as the “Company” as the context may require.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Risk Factors:</w:t>
      </w:r>
    </w:p>
    <w:p>
      <w:pPr>
        <w:spacing w:after="0" w:line="23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Through December 31, 2025, the Company has not recognized any revenues, and cannot make any assurances of generating significant revenues in the future.</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December 31, 2025, the Company had cash equivalents and marketable securities balance of approximately $78,592, excluding restricted cash. The Company expects to incur significant losses for the foreseeable future as it conducts marketing activities for its current product and continues its research and development of any other future product candidates and all other work necessary to obtain regulatory clearances or approvals for its products or product candidates. Notwithstanding these conditions, the Company’s management has concluded that the available funds as of the balance sheet date are sufficient to fund the Company’s operations for more than twelve months from issuance date of these consolidated financial statements.</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will seek to raise additional funds through future issuances of either debt and/or equity securities and possibly additional grants from the Israeli Innovation Authority and other government institutions in order to fund further growth and expansion of the Company.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Middle East Conflict</w:t>
      </w:r>
    </w:p>
    <w:p>
      <w:pPr>
        <w:spacing w:after="0" w:line="2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ongoing risks of operating in Israel have been exacerbated as a result of the October 7, 2023 surprise attack by hostile forces from Gaza, which led to Israeli military operation at first in Gaza, then in Lebanon, Syria, Yemen and Iran. These include security and economic risks, risks relating to the Company’s ability to sell or buy internationally, risk of economic instability, risk of exchange rate fluctuation negatively affecting operating costs, and the risk of employees leaving to perform military service. These military operations and related activities are on-going as of the filing date of these consolidated financial statements.</w:t>
      </w:r>
    </w:p>
    <w:p>
      <w:pPr>
        <w:spacing w:after="0" w:line="188"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Subsequent to the reporting period, on February 28, 2026, a military operation referred to as “Epic-Fury” commenced with a large-scale attack on Iran carried out in coordination with the United States. In response, Iran launched 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360"/>
          </w:cols>
          <w:pgMar w:left="1440" w:top="1417" w:right="1440" w:bottom="450" w:gutter="0" w:footer="0" w:header="0"/>
        </w:sectPr>
      </w:pPr>
    </w:p>
    <w:bookmarkStart w:id="73" w:name="page74"/>
    <w:bookmarkEnd w:id="73"/>
    <w:p>
      <w:pPr>
        <w:jc w:val="both"/>
        <w:spacing w:after="0" w:line="257" w:lineRule="auto"/>
        <w:rPr>
          <w:sz w:val="20"/>
          <w:szCs w:val="20"/>
          <w:color w:val="auto"/>
        </w:rPr>
      </w:pPr>
      <w:r>
        <w:rPr>
          <w:rFonts w:ascii="Times New Roman" w:cs="Times New Roman" w:eastAsia="Times New Roman" w:hAnsi="Times New Roman"/>
          <w:sz w:val="20"/>
          <w:szCs w:val="20"/>
          <w:color w:val="auto"/>
        </w:rPr>
        <w:t>counterattack that included the firing of ballistic missiles and unmanned aerial vehicles toward military and civilian targets in Israel. Additionally, Hezbollah, a terrorist organization in Lebanon, joined the attacks against Israel and Israel has started military operations in Lebanon.</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a result, a special state of emergency was declared in Israel, which included, among other things, the closure of Israel’s airspace, restrictions on public gatherings, temporary closures and/or reduced operating hours of businesses, and the mobilization of military reservists, which have resulted in reduced economic activity.</w:t>
      </w:r>
    </w:p>
    <w:p>
      <w:pPr>
        <w:spacing w:after="0" w:line="1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has considered various ongoing risks relating to these and other military operation and related matters, including:</w:t>
      </w:r>
    </w:p>
    <w:p>
      <w:pPr>
        <w:spacing w:after="0" w:line="160" w:lineRule="exact"/>
        <w:rPr>
          <w:sz w:val="20"/>
          <w:szCs w:val="20"/>
          <w:color w:val="auto"/>
        </w:rPr>
      </w:pPr>
    </w:p>
    <w:p>
      <w:pPr>
        <w:jc w:val="both"/>
        <w:ind w:left="360" w:hanging="630"/>
        <w:spacing w:after="0" w:line="241" w:lineRule="auto"/>
        <w:tabs>
          <w:tab w:leader="none" w:pos="340" w:val="left"/>
        </w:tabs>
        <w:rPr>
          <w:sz w:val="20"/>
          <w:szCs w:val="20"/>
          <w:color w:val="auto"/>
        </w:rPr>
      </w:pPr>
      <w:r>
        <w:rPr>
          <w:rFonts w:ascii="PMingLiU" w:cs="PMingLiU" w:eastAsia="PMingLiU" w:hAnsi="PMingLiU"/>
          <w:sz w:val="20"/>
          <w:szCs w:val="20"/>
          <w:color w:val="auto"/>
        </w:rPr>
        <w:t/>
        <w:tab/>
        <w:t xml:space="preserve">  </w:t>
      </w:r>
      <w:r>
        <w:rPr>
          <w:rFonts w:ascii="Times New Roman" w:cs="Times New Roman" w:eastAsia="Times New Roman" w:hAnsi="Times New Roman"/>
          <w:sz w:val="20"/>
          <w:szCs w:val="20"/>
          <w:color w:val="auto"/>
        </w:rPr>
        <w:t>That some of our Israeli subcontractors, vendors, suppliers and other companies in which the Company relies,</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may not be fully active and operational, as instructed by the relevant authorities;</w:t>
      </w:r>
    </w:p>
    <w:p>
      <w:pPr>
        <w:ind w:left="360"/>
        <w:spacing w:after="0" w:line="228" w:lineRule="exact"/>
        <w:rPr>
          <w:sz w:val="20"/>
          <w:szCs w:val="20"/>
          <w:color w:val="auto"/>
        </w:rPr>
      </w:pPr>
      <w:r>
        <w:rPr>
          <w:rFonts w:ascii="Arial Unicode MS" w:cs="Arial Unicode MS" w:eastAsia="Arial Unicode MS" w:hAnsi="Arial Unicode MS"/>
          <w:sz w:val="20"/>
          <w:szCs w:val="20"/>
          <w:color w:val="auto"/>
        </w:rPr>
        <w:t>Ɣ</w:t>
      </w:r>
      <w:r>
        <w:rPr>
          <w:rFonts w:ascii="Times New Roman" w:cs="Times New Roman" w:eastAsia="Times New Roman" w:hAnsi="Times New Roman"/>
          <w:sz w:val="20"/>
          <w:szCs w:val="20"/>
          <w:color w:val="auto"/>
        </w:rPr>
        <w:t xml:space="preserve">  A slowdown in the number of international flights in and out of Israel;</w:t>
      </w:r>
    </w:p>
    <w:p>
      <w:pPr>
        <w:ind w:left="640" w:hanging="640"/>
        <w:spacing w:after="0" w:line="227" w:lineRule="auto"/>
        <w:tabs>
          <w:tab w:leader="none" w:pos="369" w:val="left"/>
        </w:tabs>
        <w:numPr>
          <w:ilvl w:val="0"/>
          <w:numId w:val="47"/>
        </w:numPr>
        <w:rPr>
          <w:rFonts w:ascii="PMingLiU" w:cs="PMingLiU" w:eastAsia="PMingLiU" w:hAnsi="PMingLiU"/>
          <w:sz w:val="20"/>
          <w:szCs w:val="20"/>
          <w:color w:val="auto"/>
        </w:rPr>
      </w:pPr>
      <w:r>
        <w:rPr>
          <w:rFonts w:ascii="PMingLiU" w:cs="PMingLiU" w:eastAsia="PMingLiU" w:hAnsi="PMingLiU"/>
          <w:sz w:val="20"/>
          <w:szCs w:val="20"/>
          <w:color w:val="auto"/>
        </w:rPr>
        <w:t xml:space="preserve">  7KHGHFUHDVLQJLQWHUQDWLRQDOUHJDUGIRU,VUDHOL</w:t>
      </w:r>
      <w:r>
        <w:rPr>
          <w:rFonts w:ascii="Times New Roman" w:cs="Times New Roman" w:eastAsia="Times New Roman" w:hAnsi="Times New Roman"/>
          <w:sz w:val="20"/>
          <w:szCs w:val="20"/>
          <w:color w:val="auto"/>
        </w:rPr>
        <w:t>based companies in certain quarters, including as a result of the</w:t>
      </w:r>
      <w:r>
        <w:rPr>
          <w:rFonts w:ascii="PMingLiU" w:cs="PMingLiU" w:eastAsia="PMingLiU" w:hAnsi="PMingLiU"/>
          <w:sz w:val="20"/>
          <w:szCs w:val="20"/>
          <w:color w:val="auto"/>
        </w:rPr>
        <w:t xml:space="preserve"> </w:t>
      </w:r>
      <w:r>
        <w:rPr>
          <w:rFonts w:ascii="Times New Roman" w:cs="Times New Roman" w:eastAsia="Times New Roman" w:hAnsi="Times New Roman"/>
          <w:sz w:val="20"/>
          <w:szCs w:val="20"/>
          <w:color w:val="auto"/>
        </w:rPr>
        <w:t>Israeli government’s policies in Gaza and the West Bank; and</w:t>
      </w:r>
    </w:p>
    <w:p>
      <w:pPr>
        <w:ind w:left="640" w:hanging="640"/>
        <w:spacing w:after="0" w:line="272" w:lineRule="auto"/>
        <w:tabs>
          <w:tab w:leader="none" w:pos="369" w:val="left"/>
        </w:tabs>
        <w:numPr>
          <w:ilvl w:val="0"/>
          <w:numId w:val="47"/>
        </w:numPr>
        <w:rPr>
          <w:rFonts w:ascii="PMingLiU" w:cs="PMingLiU" w:eastAsia="PMingLiU" w:hAnsi="PMingLiU"/>
          <w:sz w:val="18"/>
          <w:szCs w:val="18"/>
          <w:color w:val="auto"/>
        </w:rPr>
      </w:pPr>
      <w:r>
        <w:rPr>
          <w:rFonts w:ascii="PMingLiU" w:cs="PMingLiU" w:eastAsia="PMingLiU" w:hAnsi="PMingLiU"/>
          <w:sz w:val="18"/>
          <w:szCs w:val="18"/>
          <w:color w:val="auto"/>
        </w:rPr>
        <w:t xml:space="preserve">  3RVVLEOHDQGDFWXDOER\FRWWVRI,VUDHODQG,VUDHOL</w:t>
      </w:r>
      <w:r>
        <w:rPr>
          <w:rFonts w:ascii="Times New Roman" w:cs="Times New Roman" w:eastAsia="Times New Roman" w:hAnsi="Times New Roman"/>
          <w:sz w:val="18"/>
          <w:szCs w:val="18"/>
          <w:color w:val="auto"/>
        </w:rPr>
        <w:t>based companies, which may adversely affect our ability to</w:t>
      </w:r>
      <w:r>
        <w:rPr>
          <w:rFonts w:ascii="PMingLiU" w:cs="PMingLiU" w:eastAsia="PMingLiU" w:hAnsi="PMingLiU"/>
          <w:sz w:val="18"/>
          <w:szCs w:val="18"/>
          <w:color w:val="auto"/>
        </w:rPr>
        <w:t xml:space="preserve"> </w:t>
      </w:r>
      <w:r>
        <w:rPr>
          <w:rFonts w:ascii="Times New Roman" w:cs="Times New Roman" w:eastAsia="Times New Roman" w:hAnsi="Times New Roman"/>
          <w:sz w:val="18"/>
          <w:szCs w:val="18"/>
          <w:color w:val="auto"/>
        </w:rPr>
        <w:t>do business in certain jurisdictions or with certain industry groups or potential customers, among others.</w:t>
      </w:r>
    </w:p>
    <w:p>
      <w:pPr>
        <w:spacing w:after="0" w:line="16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The Company closely monitors how these and other military operation and related activities could adversely affect its anticipated milestones and its Israel-based activities to support future commercial, clinical and regulatory milestones, including the Company’s ability to import materials that are required to construct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devices and to ship them outside of Israel. As of the filing date of these consolidated financial statements, the Company has determined that there have not been any materially adverse effects on its business or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significant accounting policies applied in the preparation of the financial statements are as follows: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Basis of presentation:</w:t>
      </w:r>
    </w:p>
    <w:p>
      <w:pPr>
        <w:spacing w:after="0" w:line="23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financial statements have been prepared in conformity with accounting principles generally accepted in the United States of America (“US GAAP”).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Financial statement in U.S. dollars:</w:t>
      </w:r>
    </w:p>
    <w:p>
      <w:pPr>
        <w:spacing w:after="0" w:line="2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 Use of estimates:</w:t>
      </w: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 Principles of consolidation:</w:t>
      </w:r>
    </w:p>
    <w:p>
      <w:pPr>
        <w:sectPr>
          <w:pgSz w:w="12240" w:h="15840" w:orient="portrait"/>
          <w:cols w:equalWidth="0" w:num="1">
            <w:col w:w="9360"/>
          </w:cols>
          <w:pgMar w:left="1440" w:top="1421" w:right="1440" w:bottom="45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360"/>
          </w:cols>
          <w:pgMar w:left="1440" w:top="1421" w:right="1440" w:bottom="450" w:gutter="0" w:footer="0" w:header="0"/>
          <w:type w:val="continuous"/>
        </w:sectPr>
      </w:pPr>
    </w:p>
    <w:bookmarkStart w:id="74" w:name="page75"/>
    <w:bookmarkEnd w:id="74"/>
    <w:p>
      <w:pPr>
        <w:jc w:val="both"/>
        <w:ind w:right="60"/>
        <w:spacing w:after="0" w:line="277"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its wholly owned subsidiary. Inter-company balances and transactions have been eliminated in consolidation.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 Cash and cash equivalents:</w:t>
      </w:r>
    </w:p>
    <w:p>
      <w:pPr>
        <w:spacing w:after="0" w:line="124"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20"/>
          <w:szCs w:val="20"/>
          <w:color w:val="auto"/>
        </w:rPr>
        <w:t>Cash and cash equivalents consist of cash and demand deposits in banks, and other short-term liquid investments (primarily interest-bearing time deposits) with original maturities of three months or less at the date of purchase.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 Restricted cash:</w:t>
      </w:r>
    </w:p>
    <w:p>
      <w:pPr>
        <w:spacing w:after="0" w:line="124"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20"/>
          <w:szCs w:val="20"/>
          <w:color w:val="auto"/>
        </w:rPr>
        <w:t>Restricted cash serves as collateral for the Company’s lease agreements and are classified as either current or long-term depending on when the anticipated use of these funds will be required.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 Long-term deposit:</w:t>
      </w:r>
    </w:p>
    <w:p>
      <w:pPr>
        <w:spacing w:after="0" w:line="124"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20"/>
          <w:szCs w:val="20"/>
          <w:color w:val="auto"/>
        </w:rPr>
        <w:t>Long-term deposit represents cash advances paid to a vendor as security for the performance of the Company’s payment obligations. The Company does not expect these deposits to be utilized in the normal course of business.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 Fair value of financial instruments:</w:t>
      </w:r>
    </w:p>
    <w:p>
      <w:pPr>
        <w:spacing w:after="0" w:line="124"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20"/>
          <w:szCs w:val="20"/>
          <w:color w:val="auto"/>
        </w:rPr>
        <w:t>The carrying values of cash and cash equivalents, prepaid expenses and other current assets, accounts payable and accrued liabilities are stated at their carrying value, which approximates fair value due to the short-term maturity of these instruments.</w:t>
      </w:r>
    </w:p>
    <w:p>
      <w:pPr>
        <w:spacing w:after="0" w:line="70"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20"/>
          <w:szCs w:val="20"/>
          <w:color w:val="auto"/>
        </w:rPr>
        <w:t>The Company measures the fair value of certain of its financial instruments (such as marketable securities) on a recurring basis. The method of determining the fair value of marketable securities is discussed in Note 4 below.</w:t>
      </w:r>
    </w:p>
    <w:p>
      <w:pPr>
        <w:spacing w:after="0" w:line="5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 Quoted prices (unadjusted) in active markets for identical assets and liabilities.</w:t>
      </w:r>
    </w:p>
    <w:p>
      <w:pPr>
        <w:spacing w:after="0" w:line="120"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 Inputs other than Level 1 that are observable, either directly or indirectly, such as unadjusted quoted prices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similar assets and liabilities, unadjusted quoted prices in the markets that are not active, or other inputs that are observable or can be corroborated by observable market data for substantially the full term of the assets or liabilities.</w:t>
      </w:r>
    </w:p>
    <w:p>
      <w:pPr>
        <w:spacing w:after="0" w:line="61"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 Unobservable inputs that are supported by little or no market activity and that are significant to the fair value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assets or liabilities.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 Concentrations of credit risk:</w:t>
      </w:r>
    </w:p>
    <w:p>
      <w:pPr>
        <w:spacing w:after="0" w:line="124"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20"/>
          <w:szCs w:val="20"/>
          <w:color w:val="auto"/>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 Property and equipment:</w:t>
      </w:r>
    </w:p>
    <w:p>
      <w:pPr>
        <w:spacing w:after="0" w:line="124"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20"/>
          <w:szCs w:val="20"/>
          <w:color w:val="auto"/>
        </w:rPr>
        <w:t>Property and equipment are presented at cost, less accumulated depreciation. Depreciation is calculated based on the straight-line method over the estimated useful lives of the assets, at the following annual rates:</w:t>
      </w:r>
    </w:p>
    <w:p>
      <w:pPr>
        <w:spacing w:after="0" w:line="44" w:lineRule="exact"/>
        <w:rPr>
          <w:sz w:val="20"/>
          <w:szCs w:val="20"/>
          <w:color w:val="auto"/>
        </w:rPr>
      </w:pPr>
    </w:p>
    <w:tbl>
      <w:tblPr>
        <w:tblLayout w:type="fixed"/>
        <w:tblInd w:w="1080" w:type="dxa"/>
        <w:tblCellMar>
          <w:top w:w="0" w:type="dxa"/>
          <w:left w:w="0" w:type="dxa"/>
          <w:bottom w:w="0" w:type="dxa"/>
          <w:right w:w="0" w:type="dxa"/>
        </w:tblCellMar>
      </w:tblPr>
      <w:tr>
        <w:trPr>
          <w:trHeight w:val="253"/>
        </w:trPr>
        <w:tc>
          <w:tcPr>
            <w:tcW w:w="6900" w:type="dxa"/>
            <w:vAlign w:val="bottom"/>
          </w:tcPr>
          <w:p>
            <w:pPr>
              <w:spacing w:after="0"/>
              <w:rPr>
                <w:sz w:val="21"/>
                <w:szCs w:val="21"/>
                <w:color w:val="auto"/>
              </w:rPr>
            </w:pPr>
          </w:p>
        </w:tc>
        <w:tc>
          <w:tcPr>
            <w:tcW w:w="14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442"/>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Research equipment and software</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25-33</w:t>
            </w: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office equipment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30"/>
        </w:trPr>
        <w:tc>
          <w:tcPr>
            <w:tcW w:w="6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Over the lease</w:t>
            </w:r>
          </w:p>
        </w:tc>
        <w:tc>
          <w:tcPr>
            <w:tcW w:w="0" w:type="dxa"/>
            <w:vAlign w:val="bottom"/>
          </w:tcPr>
          <w:p>
            <w:pPr>
              <w:spacing w:after="0"/>
              <w:rPr>
                <w:sz w:val="1"/>
                <w:szCs w:val="1"/>
                <w:color w:val="auto"/>
              </w:rPr>
            </w:pPr>
          </w:p>
        </w:tc>
      </w:tr>
      <w:tr>
        <w:trPr>
          <w:trHeight w:val="265"/>
        </w:trPr>
        <w:tc>
          <w:tcPr>
            <w:tcW w:w="6900" w:type="dxa"/>
            <w:vAlign w:val="bottom"/>
            <w:vMerge w:val="continue"/>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period</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60"/>
        <w:spacing w:after="0" w:line="279" w:lineRule="auto"/>
        <w:rPr>
          <w:sz w:val="20"/>
          <w:szCs w:val="20"/>
          <w:color w:val="auto"/>
        </w:rPr>
      </w:pPr>
      <w:r>
        <w:rPr>
          <w:rFonts w:ascii="Times New Roman" w:cs="Times New Roman" w:eastAsia="Times New Roman" w:hAnsi="Times New Roman"/>
          <w:sz w:val="19"/>
          <w:szCs w:val="19"/>
          <w:color w:val="auto"/>
        </w:rPr>
        <w:t>The Company assesses property and equipment impairment whenever events or changes in circumstances indicate that the carrying amount of the asset may not be recoverable. If such circumstances are determined to exist, an estimate of undiscounted future cash flows produced by the property and equipment assets, or the appropriate grouping of</w:t>
      </w:r>
    </w:p>
    <w:p>
      <w:pPr>
        <w:spacing w:after="0" w:line="2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F-10</w:t>
      </w:r>
    </w:p>
    <w:p>
      <w:pPr>
        <w:sectPr>
          <w:pgSz w:w="12240" w:h="15840" w:orient="portrait"/>
          <w:cols w:equalWidth="0" w:num="1">
            <w:col w:w="9420"/>
          </w:cols>
          <w:pgMar w:left="1440" w:top="1421" w:right="1380" w:bottom="450" w:gutter="0" w:footer="0" w:header="0"/>
        </w:sectPr>
      </w:pPr>
    </w:p>
    <w:bookmarkStart w:id="75" w:name="page76"/>
    <w:bookmarkEnd w:id="75"/>
    <w:p>
      <w:pPr>
        <w:jc w:val="both"/>
        <w:ind w:right="60"/>
        <w:spacing w:after="0" w:line="252" w:lineRule="auto"/>
        <w:rPr>
          <w:sz w:val="20"/>
          <w:szCs w:val="20"/>
          <w:color w:val="auto"/>
        </w:rPr>
      </w:pPr>
      <w:r>
        <w:rPr>
          <w:rFonts w:ascii="Times New Roman" w:cs="Times New Roman" w:eastAsia="Times New Roman" w:hAnsi="Times New Roman"/>
          <w:sz w:val="20"/>
          <w:szCs w:val="20"/>
          <w:color w:val="auto"/>
        </w:rPr>
        <w:t>assets, is compared to the carrying value to determine whether impairment exists. If an asset is determined to be impaired, the loss is measured based on the difference between the asset’s estimated fair value and its carrying value. For property and equipment assets, the estimate of fair value is typically based on a discounted cash flow model. As of December 31, 2025 and 2024, no impairment charges were recorded.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 Liabilities due to termination of employment agreements:</w:t>
      </w:r>
    </w:p>
    <w:p>
      <w:pPr>
        <w:spacing w:after="0" w:line="124"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9"/>
          <w:szCs w:val="19"/>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174" w:lineRule="exact"/>
        <w:rPr>
          <w:sz w:val="20"/>
          <w:szCs w:val="20"/>
          <w:color w:val="auto"/>
        </w:rPr>
      </w:pPr>
    </w:p>
    <w:p>
      <w:pPr>
        <w:jc w:val="both"/>
        <w:ind w:right="60"/>
        <w:spacing w:after="0" w:line="304" w:lineRule="auto"/>
        <w:rPr>
          <w:sz w:val="20"/>
          <w:szCs w:val="20"/>
          <w:color w:val="auto"/>
        </w:rPr>
      </w:pPr>
      <w:r>
        <w:rPr>
          <w:rFonts w:ascii="Times New Roman" w:cs="Times New Roman" w:eastAsia="Times New Roman" w:hAnsi="Times New Roman"/>
          <w:sz w:val="19"/>
          <w:szCs w:val="19"/>
          <w:color w:val="auto"/>
        </w:rPr>
        <w:t>As for the U.S. employees, the Company has certain defined contribution plans, including a 401(k)-retirement plan in the U.S., whereby contributions made by eligible employees are matched by the Company with certain limitations.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 Common stock warrants:</w:t>
      </w:r>
    </w:p>
    <w:p>
      <w:pPr>
        <w:spacing w:after="0" w:line="124"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0"/>
          <w:szCs w:val="20"/>
          <w:color w:val="auto"/>
        </w:rPr>
        <w:t>The Company accounts for warrants issued to investors as either equity-classified or liability -classified instruments, based on an assessment of the warrant’s specific terms and the applicable authoritative guidance in Financial Accounting Standards Board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 Basic and diluted net loss per share:</w:t>
      </w:r>
    </w:p>
    <w:p>
      <w:pPr>
        <w:spacing w:after="0" w:line="124"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20"/>
          <w:szCs w:val="20"/>
          <w:color w:val="auto"/>
        </w:rPr>
        <w:t>Basic net loss per share is calculated by dividing net loss attributable to common stock shareholders by the weighted average number of shares of common stock outstanding during the year without consideration of potentially dilutive securities. For purposes of the diluted net loss per share attributable to common shareholders calculation, stock options and warrants are considered to be common stock equivalents. All common stock equivalents, as detailed in Notes 2P, 11H and 11I, have been excluded from the calculation of the diluted loss per share for the years ended December 31, 2025 and 2024, as their effect would be anti-dilutive. Therefore, basic and diluted net loss per share were the same for both years presented. In the calculation of the basic and diluted net loss, the Company included warrants that would be exercised for no or little consideration and are exercisable with no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 Research and development expenses, net:</w:t>
      </w:r>
    </w:p>
    <w:p>
      <w:pPr>
        <w:spacing w:after="0" w:line="12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 xml:space="preserve">Research and development expenses are charged to the statement of comprehensive loss as incurred. Grants for funding of approved research and development projects and others are recognized at the time the Company is entitled to such grants, on the basis of the costs incurred and applied as a deduction from the research and development expenses. See Note 2U below. Reimbursement of expenses for research and development projects is recognized as the costs are incurred and is netted against research and development expenses in the statement of comprehensive loss. </w:t>
      </w:r>
      <w:r>
        <w:rPr>
          <w:rFonts w:ascii="PMingLiU" w:cs="PMingLiU" w:eastAsia="PMingLiU" w:hAnsi="PMingLiU"/>
          <w:sz w:val="17"/>
          <w:szCs w:val="17"/>
          <w:color w:val="auto"/>
        </w:rPr>
        <w:t xml:space="preserve">5HVHDUFKDQGGHYHORSPHQWUHLPEXUVHPHQWVRI DQGZHUHRIIVHWDJDLQVWUHVHDUFKDQGGHYHORSPHQWFRVWVLQWKH </w:t>
      </w:r>
      <w:r>
        <w:rPr>
          <w:rFonts w:ascii="Times New Roman" w:cs="Times New Roman" w:eastAsia="Times New Roman" w:hAnsi="Times New Roman"/>
          <w:sz w:val="17"/>
          <w:szCs w:val="17"/>
          <w:color w:val="auto"/>
        </w:rPr>
        <w:t>years ended December 31, 2025 and 2024,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 Sales, general and administrative expenses: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Sales, general and administrative expenses are charged to the statement of comprehensive loss as incurred.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 Share-based compensation:</w:t>
      </w:r>
    </w:p>
    <w:p>
      <w:pPr>
        <w:spacing w:after="0" w:line="12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The Company applies ASC 718-10, “Share-Based Payment” (“ASC 718- 10”), which requires the measurement and recognition of compensation expenses for all share-based payment awards made to employees and directors including stock options under the Company’s stock plans based on estimated fair values.</w:t>
      </w:r>
    </w:p>
    <w:p>
      <w:pPr>
        <w:sectPr>
          <w:pgSz w:w="12240" w:h="15840" w:orient="portrait"/>
          <w:cols w:equalWidth="0" w:num="1">
            <w:col w:w="9420"/>
          </w:cols>
          <w:pgMar w:left="1440" w:top="1421" w:right="1380" w:bottom="462"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420"/>
          </w:cols>
          <w:pgMar w:left="1440" w:top="1421" w:right="1380" w:bottom="462" w:gutter="0" w:footer="0" w:header="0"/>
          <w:type w:val="continuous"/>
        </w:sectPr>
      </w:pPr>
    </w:p>
    <w:bookmarkStart w:id="76" w:name="page77"/>
    <w:bookmarkEnd w:id="76"/>
    <w:p>
      <w:pPr>
        <w:jc w:val="both"/>
        <w:spacing w:after="0" w:line="247" w:lineRule="auto"/>
        <w:rPr>
          <w:sz w:val="20"/>
          <w:szCs w:val="20"/>
          <w:color w:val="auto"/>
        </w:rPr>
      </w:pPr>
      <w:r>
        <w:rPr>
          <w:rFonts w:ascii="Times New Roman" w:cs="Times New Roman" w:eastAsia="Times New Roman" w:hAnsi="Times New Roman"/>
          <w:sz w:val="20"/>
          <w:szCs w:val="20"/>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recognizes the expense for an equity classified awards subject to performance- 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When no future services are required to be performed by the grantee in exchange for an award of equity instruments, and if such award does not contain a performance condition, the cost of the award is expensed on the grant date.</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For stock options that qualify as “plain-vanilla,” the expected term is calculated using the simplified method. For stock options that do not qualify as “plain-vanilla”, the Company’s management estimated that the expected stock option term is the contractual term of the options.</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Changes in the determination of each of the inputs can affect the fair value of the stock options granted and the results of operations of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 Income taxes:</w:t>
      </w:r>
    </w:p>
    <w:p>
      <w:pPr>
        <w:spacing w:after="0" w:line="1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2025, and 2024, the Company had a full valuation allowance against deferred tax assets due to the uncertainty as to whether the Company’s deferred tax assets will ever be realized in future periods.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 Marketable securities:</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invests in equity securities. Equity securities consist of a mutual fund. The Company records these investments in the consolidated balance sheet at fair value. Unrealized gains or losses for the equity security are reflected in the statements of comprehensive loss as financial income or expenses, as appropriate. The Company classifies its investments as current based on the nature of the investments and their availability for use in current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 Leases:</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determines if an arrangement is a lease at inception. Operating lease assets are presented as operating lease long -term right-of-use assets (“ROU”), and corresponding as lease liabilities (current portion), and as operating long-term lease liabilities, on the Company’s consolidated balance sheets.</w:t>
      </w:r>
    </w:p>
    <w:p>
      <w:pPr>
        <w:spacing w:after="0" w:line="177"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9"/>
          <w:szCs w:val="19"/>
          <w:color w:val="auto"/>
        </w:rPr>
        <w:t>Operating lease ROU assets and operating lease liabilities are recognized based on the present value of the remaining lease payments over the lease term at commencement date. The Company’s leases do not provide an implicit interest</w:t>
      </w:r>
    </w:p>
    <w:p>
      <w:pPr>
        <w:sectPr>
          <w:pgSz w:w="12240" w:h="15840" w:orient="portrait"/>
          <w:cols w:equalWidth="0" w:num="1">
            <w:col w:w="9360"/>
          </w:cols>
          <w:pgMar w:left="1440" w:top="1421" w:right="1440" w:bottom="462" w:gutter="0" w:footer="0" w:header="0"/>
        </w:sect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360"/>
          </w:cols>
          <w:pgMar w:left="1440" w:top="1421" w:right="1440" w:bottom="462" w:gutter="0" w:footer="0" w:header="0"/>
          <w:type w:val="continuous"/>
        </w:sectPr>
      </w:pPr>
    </w:p>
    <w:bookmarkStart w:id="77" w:name="page78"/>
    <w:bookmarkEnd w:id="77"/>
    <w:p>
      <w:pPr>
        <w:jc w:val="both"/>
        <w:spacing w:after="0" w:line="246" w:lineRule="auto"/>
        <w:rPr>
          <w:sz w:val="20"/>
          <w:szCs w:val="20"/>
          <w:color w:val="auto"/>
        </w:rPr>
      </w:pPr>
      <w:r>
        <w:rPr>
          <w:rFonts w:ascii="Times New Roman" w:cs="Times New Roman" w:eastAsia="Times New Roman" w:hAnsi="Times New Roman"/>
          <w:sz w:val="20"/>
          <w:szCs w:val="20"/>
          <w:color w:val="auto"/>
        </w:rPr>
        <w:t>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has lease agreements with lease and non-lease components, which it accounts for as a single lease component. The Company has elected not to recognize ROU assets and lease liabilities for short-term leases that have a term of 12 months or less. The Company’s lease agreements do not contain any material residual value guarantees or material restrictive covenants. In addition, the Company does not have any related party leases.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 Contingencies:</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Government grants:</w:t>
      </w:r>
    </w:p>
    <w:p>
      <w:pPr>
        <w:spacing w:after="0" w:line="1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Government grants which are received from the Israeli Ministry of Economy and Israel Innovation Authority (“IIA”) by way of participation in research and development that is conducted by Microbot Israel, are received in installments as the program progresses based on qualified research spending. Grants received are recognized when the grant becomes receivable, provided there was reasonable assurance that Microbot Israel will comply with the conditions attached to the grant and there was reasonable assurance the grant will be received.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grants are deducted from the research and development expenses as the applicable costs are incurred. Research and development expenses, net, for the years ended December 31, 2025 and 2024, include participation in research and development expenses in the amount of approximately $496 and $149,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 Inventory</w:t>
      </w:r>
    </w:p>
    <w:p>
      <w:pPr>
        <w:spacing w:after="0" w:line="1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Inventories primarily consist of raw materials, work-in-process and finished goods produced by our third-party contract manufacturer. Inventories are stated at the lower of cost, determined using the first-in, first-out (FIFO) method, or net realizable value.</w:t>
      </w:r>
    </w:p>
    <w:p>
      <w:pPr>
        <w:spacing w:after="0" w:line="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Inventory costs include the purchase price of materials and other manufacturing costs, including overhead and personnel costs for employees involved in production planning.</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regularly evaluates its inventory for excess and obsolescence. The Company considers the expiration of sterilization dates where applicable. When the carrying value of inventory exceeds its estimated net realizable value, the Company records a write-down.</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Company considered regulatory approval of its product candidate to be uncertain and product manufactured prior to regulatory approval could not have been sold unless regulatory approval was obtained. The Company began recognizing inventory related to the manufacture of the Company’s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in October 2025, after FDA approval was granted related to Liberty. As such, the manufacturing costs incurred prior to regulatory approval were not recognized as inventory but rather were expensed as incurred as research and development expenses.</w:t>
      </w:r>
    </w:p>
    <w:p>
      <w:pPr>
        <w:sectPr>
          <w:pgSz w:w="12240" w:h="15840" w:orient="portrait"/>
          <w:cols w:equalWidth="0" w:num="1">
            <w:col w:w="9360"/>
          </w:cols>
          <w:pgMar w:left="1440" w:top="1421" w:right="1440" w:bottom="4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360"/>
          </w:cols>
          <w:pgMar w:left="1440" w:top="1421" w:right="1440" w:bottom="462"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color w:val="auto"/>
        </w:rPr>
        <w:t>W. Segment Reporting</w:t>
      </w:r>
    </w:p>
    <w:p>
      <w:pPr>
        <w:spacing w:after="0" w:line="124"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19"/>
          <w:szCs w:val="19"/>
          <w:color w:val="auto"/>
        </w:rPr>
        <w:t>The Company has a single operating and reportable segment, which is the development of robotic devices for endoluminal surgery. See Note 1A for further details. The Company’s chief operating decision maker (the “CODM”), the Chief Executive Officer (“CEO”), reviews financial information presented on a consolidated basis for purposes of making operating decisions, assessing performance, and allocating resources. For further details, refer to Note 15.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X. Recently Adopted accounting pronouncements:</w:t>
      </w:r>
    </w:p>
    <w:p>
      <w:pPr>
        <w:spacing w:after="0" w:line="124"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20"/>
          <w:szCs w:val="20"/>
          <w:color w:val="auto"/>
        </w:rPr>
        <w:t>In December 2023, FASB issued ASU No. 2023-09, Income Taxes (Topic 740): Improvements to Income Tax Disclosures. This ASU requires disclosure of specific categories in the rate reconciliation and additional information for reconciling items that meet a quantitative threshold. The amendment also includes other changes to improve the effectiveness of income tax disclosures, including further disaggregation of income taxes paid for individually significant jurisdictions. The Company adopted the ASU on its consolidated financial statements and disclosures. For further details, refer to Note 17.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Y. Accounting pronouncements not yet effective:</w:t>
      </w:r>
    </w:p>
    <w:p>
      <w:pPr>
        <w:spacing w:after="0" w:line="122"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0"/>
          <w:szCs w:val="20"/>
          <w:color w:val="auto"/>
        </w:rPr>
        <w:t>In November 2024, FASB issued Accounting Standards Update (ASU) 2024-03, Income Statement—Reporting Comprehensive Income—Expense Disaggregation Disclosures (Subtopic 220-40), Disaggregation of Income Statement Expenses. This update aims to enhance the transparency of financial reporting by requiring public business entities (PBEs) to provide disaggregated disclosure of certain income statement expense captions into specified categories in disclosures within the footnotes to the financial statements. The ASU is effective for fiscal years beginning after December 15, 2026, and interim periods within fiscal years beginning after December 15, 2027. Early adoption is permitted. Adoption of this ASU should be applied on a prospective basis, although retrospective application is permitted. The Company is currently evaluating the impact of adopting this ASU on its consolidated financial statements and disclosures.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CASH AND CASH EQUIVALENTS AND MARKETABLE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our cash, cash equivalents and marketable securities as of December 31, 2025 and 2024:</w:t>
      </w:r>
    </w:p>
    <w:p>
      <w:pPr>
        <w:spacing w:after="0" w:line="238" w:lineRule="exact"/>
        <w:rPr>
          <w:sz w:val="20"/>
          <w:szCs w:val="20"/>
          <w:color w:val="auto"/>
        </w:rPr>
      </w:pPr>
    </w:p>
    <w:tbl>
      <w:tblPr>
        <w:tblLayout w:type="fixed"/>
        <w:tblInd w:w="1080" w:type="dxa"/>
        <w:tblCellMar>
          <w:top w:w="0" w:type="dxa"/>
          <w:left w:w="0" w:type="dxa"/>
          <w:bottom w:w="0" w:type="dxa"/>
          <w:right w:w="0" w:type="dxa"/>
        </w:tblCellMar>
      </w:tblPr>
      <w:tr>
        <w:trPr>
          <w:trHeight w:val="253"/>
        </w:trPr>
        <w:tc>
          <w:tcPr>
            <w:tcW w:w="5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40" w:type="dxa"/>
            <w:vAlign w:val="bottom"/>
            <w:gridSpan w:val="8"/>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0" w:type="dxa"/>
            <w:vAlign w:val="bottom"/>
          </w:tcPr>
          <w:p>
            <w:pPr>
              <w:spacing w:after="0"/>
              <w:rPr>
                <w:sz w:val="1"/>
                <w:szCs w:val="1"/>
                <w:color w:val="auto"/>
              </w:rPr>
            </w:pPr>
          </w:p>
        </w:tc>
      </w:tr>
      <w:tr>
        <w:trPr>
          <w:trHeight w:val="230"/>
        </w:trPr>
        <w:tc>
          <w:tcPr>
            <w:tcW w:w="5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3,114</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Total cash and cash equivalents</w:t>
            </w:r>
          </w:p>
        </w:tc>
        <w:tc>
          <w:tcPr>
            <w:tcW w:w="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3,912</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mutual funds</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74,680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2,356</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Total marketable securities</w:t>
            </w:r>
          </w:p>
        </w:tc>
        <w:tc>
          <w:tcPr>
            <w:tcW w:w="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74,680</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cash, cash equivalents and marketable securities</w:t>
            </w: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00" w:type="dxa"/>
            <w:vAlign w:val="bottom"/>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jc w:val="right"/>
              <w:ind w:right="10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78,592</w:t>
            </w:r>
          </w:p>
        </w:tc>
        <w:tc>
          <w:tcPr>
            <w:tcW w:w="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color w:val="auto"/>
              </w:rPr>
              <w:t>5,470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The unrealized gains on our marketable securities were $4 and $0 for the years ended December 31, 2025 and 2024,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FAIR VALUE MEASUREMENTS</w:t>
      </w:r>
    </w:p>
    <w:p>
      <w:pPr>
        <w:spacing w:after="0" w:line="12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Company’s financial assets subject to fair value measurement and the level of inputs used in such measurements as of December 31, 2025 and 2024:</w:t>
      </w:r>
    </w:p>
    <w:p>
      <w:pPr>
        <w:spacing w:after="0" w:line="156" w:lineRule="exact"/>
        <w:rPr>
          <w:sz w:val="20"/>
          <w:szCs w:val="20"/>
          <w:color w:val="auto"/>
        </w:rPr>
      </w:pPr>
    </w:p>
    <w:tbl>
      <w:tblPr>
        <w:tblLayout w:type="fixed"/>
        <w:tblInd w:w="1080" w:type="dxa"/>
        <w:tblCellMar>
          <w:top w:w="0" w:type="dxa"/>
          <w:left w:w="0" w:type="dxa"/>
          <w:bottom w:w="0" w:type="dxa"/>
          <w:right w:w="0" w:type="dxa"/>
        </w:tblCellMar>
      </w:tblPr>
      <w:tr>
        <w:trPr>
          <w:trHeight w:val="250"/>
        </w:trPr>
        <w:tc>
          <w:tcPr>
            <w:tcW w:w="3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3"/>
        </w:trPr>
        <w:tc>
          <w:tcPr>
            <w:tcW w:w="3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Level 3</w:t>
            </w:r>
          </w:p>
        </w:tc>
      </w:tr>
      <w:tr>
        <w:trPr>
          <w:trHeight w:val="442"/>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49"/>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mutual funds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74,680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74,680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7"/>
        </w:trPr>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74,680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74,680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504"/>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F-14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-1130300</wp:posOffset>
            </wp:positionV>
            <wp:extent cx="3272155" cy="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extLst>
                    </a:blip>
                    <a:srcRect/>
                    <a:stretch>
                      <a:fillRect/>
                    </a:stretch>
                  </pic:blipFill>
                  <pic:spPr bwMode="auto">
                    <a:xfrm>
                      <a:off x="0" y="0"/>
                      <a:ext cx="3272155" cy="12065"/>
                    </a:xfrm>
                    <a:prstGeom prst="rect">
                      <a:avLst/>
                    </a:prstGeom>
                    <a:noFill/>
                  </pic:spPr>
                </pic:pic>
              </a:graphicData>
            </a:graphic>
          </wp:anchor>
        </w:drawing>
      </w:r>
    </w:p>
    <w:p>
      <w:pPr>
        <w:sectPr>
          <w:pgSz w:w="12240" w:h="15840" w:orient="portrait"/>
          <w:cols w:equalWidth="0" w:num="1">
            <w:col w:w="9420"/>
          </w:cols>
          <w:pgMar w:left="1440" w:top="1417" w:right="1380" w:bottom="415" w:gutter="0" w:footer="0" w:header="0"/>
        </w:sectPr>
      </w:pPr>
    </w:p>
    <w:bookmarkStart w:id="79" w:name="page80"/>
    <w:bookmarkEnd w:id="79"/>
    <w:p>
      <w:pPr>
        <w:spacing w:after="0" w:line="208" w:lineRule="exact"/>
        <w:rPr>
          <w:sz w:val="20"/>
          <w:szCs w:val="20"/>
          <w:color w:val="auto"/>
        </w:rPr>
      </w:pPr>
    </w:p>
    <w:tbl>
      <w:tblPr>
        <w:tblLayout w:type="fixed"/>
        <w:tblInd w:w="1080" w:type="dxa"/>
        <w:tblCellMar>
          <w:top w:w="0" w:type="dxa"/>
          <w:left w:w="0" w:type="dxa"/>
          <w:bottom w:w="0" w:type="dxa"/>
          <w:right w:w="0" w:type="dxa"/>
        </w:tblCellMar>
      </w:tblPr>
      <w:tr>
        <w:trPr>
          <w:trHeight w:val="250"/>
        </w:trPr>
        <w:tc>
          <w:tcPr>
            <w:tcW w:w="3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2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3"/>
        </w:trPr>
        <w:tc>
          <w:tcPr>
            <w:tcW w:w="3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4"/>
          </w:tcPr>
          <w:p>
            <w:pPr>
              <w:ind w:left="1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4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Level 3</w:t>
            </w:r>
          </w:p>
        </w:tc>
      </w:tr>
      <w:tr>
        <w:trPr>
          <w:trHeight w:val="442"/>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rPr>
              <w:t>Marketable securities:</w:t>
            </w: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49"/>
        </w:trPr>
        <w:tc>
          <w:tcPr>
            <w:tcW w:w="318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mutual funds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2,356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7"/>
        </w:trPr>
        <w:tc>
          <w:tcPr>
            <w:tcW w:w="3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2,356</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-799465</wp:posOffset>
            </wp:positionV>
            <wp:extent cx="3272155"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extLst>
                    </a:blip>
                    <a:srcRect/>
                    <a:stretch>
                      <a:fillRect/>
                    </a:stretch>
                  </pic:blipFill>
                  <pic:spPr bwMode="auto">
                    <a:xfrm>
                      <a:off x="0" y="0"/>
                      <a:ext cx="3272155" cy="12065"/>
                    </a:xfrm>
                    <a:prstGeom prst="rect">
                      <a:avLst/>
                    </a:prstGeom>
                    <a:noFill/>
                  </pic:spPr>
                </pic:pic>
              </a:graphicData>
            </a:graphic>
          </wp:anchor>
        </w:drawing>
      </w:r>
    </w:p>
    <w:p>
      <w:pPr>
        <w:spacing w:after="0" w:line="190"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20"/>
          <w:szCs w:val="20"/>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2025 and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INVENTORY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Inventories consisted of the following:</w:t>
      </w:r>
    </w:p>
    <w:p>
      <w:pPr>
        <w:spacing w:after="0" w:line="227" w:lineRule="exact"/>
        <w:rPr>
          <w:sz w:val="20"/>
          <w:szCs w:val="20"/>
          <w:color w:val="auto"/>
        </w:rPr>
      </w:pPr>
    </w:p>
    <w:tbl>
      <w:tblPr>
        <w:tblLayout w:type="fixed"/>
        <w:tblInd w:w="1080" w:type="dxa"/>
        <w:tblCellMar>
          <w:top w:w="0" w:type="dxa"/>
          <w:left w:w="0" w:type="dxa"/>
          <w:bottom w:w="0" w:type="dxa"/>
          <w:right w:w="0" w:type="dxa"/>
        </w:tblCellMar>
      </w:tblPr>
      <w:tr>
        <w:trPr>
          <w:trHeight w:val="253"/>
        </w:trPr>
        <w:tc>
          <w:tcPr>
            <w:tcW w:w="5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280" w:type="dxa"/>
            <w:vAlign w:val="bottom"/>
            <w:tcBorders>
              <w:bottom w:val="single" w:sz="8" w:color="auto"/>
            </w:tcBorders>
          </w:tcPr>
          <w:p>
            <w:pPr>
              <w:spacing w:after="0"/>
              <w:rPr>
                <w:sz w:val="21"/>
                <w:szCs w:val="21"/>
                <w:color w:val="auto"/>
              </w:rPr>
            </w:pPr>
          </w:p>
        </w:tc>
      </w:tr>
      <w:tr>
        <w:trPr>
          <w:trHeight w:val="230"/>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420" w:type="dxa"/>
            <w:vAlign w:val="bottom"/>
            <w:tcBorders>
              <w:bottom w:val="single" w:sz="8" w:color="auto"/>
            </w:tcBorders>
          </w:tcPr>
          <w:p>
            <w:pPr>
              <w:spacing w:after="0"/>
              <w:rPr>
                <w:sz w:val="19"/>
                <w:szCs w:val="19"/>
                <w:color w:val="auto"/>
              </w:rPr>
            </w:pPr>
          </w:p>
        </w:tc>
        <w:tc>
          <w:tcPr>
            <w:tcW w:w="240" w:type="dxa"/>
            <w:vAlign w:val="bottom"/>
            <w:gridSpan w:val="2"/>
          </w:tcPr>
          <w:p>
            <w:pPr>
              <w:spacing w:after="0"/>
              <w:rPr>
                <w:sz w:val="19"/>
                <w:szCs w:val="19"/>
                <w:color w:val="auto"/>
              </w:rPr>
            </w:pPr>
          </w:p>
        </w:tc>
        <w:tc>
          <w:tcPr>
            <w:tcW w:w="11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80" w:type="dxa"/>
            <w:vAlign w:val="bottom"/>
            <w:tcBorders>
              <w:bottom w:val="single" w:sz="8" w:color="auto"/>
            </w:tcBorders>
          </w:tcPr>
          <w:p>
            <w:pPr>
              <w:spacing w:after="0"/>
              <w:rPr>
                <w:sz w:val="19"/>
                <w:szCs w:val="19"/>
                <w:color w:val="auto"/>
              </w:rPr>
            </w:pPr>
          </w:p>
        </w:tc>
      </w:tr>
      <w:tr>
        <w:trPr>
          <w:trHeight w:val="442"/>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1040" w:type="dxa"/>
            <w:vAlign w:val="bottom"/>
            <w:gridSpan w:val="2"/>
          </w:tcPr>
          <w:p>
            <w:pPr>
              <w:jc w:val="right"/>
              <w:ind w:right="820"/>
              <w:spacing w:after="0"/>
              <w:rPr>
                <w:sz w:val="20"/>
                <w:szCs w:val="20"/>
                <w:color w:val="auto"/>
              </w:rPr>
            </w:pPr>
            <w:r>
              <w:rPr>
                <w:rFonts w:ascii="Times New Roman" w:cs="Times New Roman" w:eastAsia="Times New Roman" w:hAnsi="Times New Roman"/>
                <w:sz w:val="20"/>
                <w:szCs w:val="20"/>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w:t>
            </w:r>
          </w:p>
        </w:tc>
        <w:tc>
          <w:tcPr>
            <w:tcW w:w="1400" w:type="dxa"/>
            <w:vAlign w:val="bottom"/>
            <w:gridSpan w:val="3"/>
          </w:tcPr>
          <w:p>
            <w:pPr>
              <w:jc w:val="right"/>
              <w:ind w:right="9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9"/>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Work-in-process</w:t>
            </w:r>
          </w:p>
        </w:tc>
        <w:tc>
          <w:tcPr>
            <w:tcW w:w="2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37"/>
        </w:trPr>
        <w:tc>
          <w:tcPr>
            <w:tcW w:w="5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inventory</w:t>
            </w: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584</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960"/>
              <w:spacing w:after="0"/>
              <w:rPr>
                <w:sz w:val="20"/>
                <w:szCs w:val="20"/>
                <w:color w:val="auto"/>
              </w:rPr>
            </w:pPr>
            <w:r>
              <w:rPr>
                <w:rFonts w:ascii="Times New Roman" w:cs="Times New Roman" w:eastAsia="Times New Roman" w:hAnsi="Times New Roman"/>
                <w:sz w:val="20"/>
                <w:szCs w:val="20"/>
                <w:color w:val="auto"/>
                <w:w w:val="79"/>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5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have been no write-downs of inventory from the time inventory was first capitalized.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6 – PREPAID EXPENSES AND OTHER CURRENT ASSETS</w:t>
            </w:r>
          </w:p>
        </w:tc>
        <w:tc>
          <w:tcPr>
            <w:tcW w:w="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30"/>
        </w:trPr>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6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42"/>
        </w:trPr>
        <w:tc>
          <w:tcPr>
            <w:tcW w:w="62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Amounts due from government institutions</w:t>
            </w:r>
          </w:p>
        </w:tc>
        <w:tc>
          <w:tcPr>
            <w:tcW w:w="1040" w:type="dxa"/>
            <w:vAlign w:val="bottom"/>
            <w:gridSpan w:val="2"/>
          </w:tcPr>
          <w:p>
            <w:pPr>
              <w:jc w:val="right"/>
              <w:ind w:right="820"/>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241</w:t>
            </w:r>
          </w:p>
        </w:tc>
        <w:tc>
          <w:tcPr>
            <w:tcW w:w="1060" w:type="dxa"/>
            <w:vAlign w:val="bottom"/>
            <w:gridSpan w:val="2"/>
          </w:tcPr>
          <w:p>
            <w:pPr>
              <w:jc w:val="right"/>
              <w:ind w:right="840"/>
              <w:spacing w:after="0"/>
              <w:rPr>
                <w:sz w:val="20"/>
                <w:szCs w:val="20"/>
                <w:color w:val="auto"/>
              </w:rPr>
            </w:pPr>
            <w:r>
              <w:rPr>
                <w:rFonts w:ascii="Times New Roman" w:cs="Times New Roman" w:eastAsia="Times New Roman" w:hAnsi="Times New Roman"/>
                <w:sz w:val="20"/>
                <w:szCs w:val="20"/>
                <w:color w:val="auto"/>
                <w:w w:val="99"/>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89</w:t>
            </w:r>
          </w:p>
        </w:tc>
      </w:tr>
      <w:tr>
        <w:trPr>
          <w:trHeight w:val="249"/>
        </w:trPr>
        <w:tc>
          <w:tcPr>
            <w:tcW w:w="62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Prepaid expenses and other receivables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403</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211</w:t>
            </w:r>
          </w:p>
        </w:tc>
      </w:tr>
      <w:tr>
        <w:trPr>
          <w:trHeight w:val="237"/>
        </w:trPr>
        <w:tc>
          <w:tcPr>
            <w:tcW w:w="6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820"/>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644</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840"/>
              <w:spacing w:after="0"/>
              <w:rPr>
                <w:sz w:val="20"/>
                <w:szCs w:val="20"/>
                <w:color w:val="auto"/>
              </w:rPr>
            </w:pPr>
            <w:r>
              <w:rPr>
                <w:rFonts w:ascii="Times New Roman" w:cs="Times New Roman" w:eastAsia="Times New Roman" w:hAnsi="Times New Roman"/>
                <w:sz w:val="20"/>
                <w:szCs w:val="20"/>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20" w:type="dxa"/>
            <w:vAlign w:val="bottom"/>
          </w:tcPr>
          <w:p>
            <w:pPr>
              <w:spacing w:after="0"/>
              <w:rPr>
                <w:sz w:val="20"/>
                <w:szCs w:val="20"/>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 LEASES</w:t>
      </w:r>
    </w:p>
    <w:p>
      <w:pPr>
        <w:spacing w:after="0" w:line="122"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20"/>
          <w:szCs w:val="20"/>
          <w:color w:val="auto"/>
        </w:rPr>
        <w:t>In March 2025, the Company entered into a lease agreement for its US office for the period from March 2025 until February 2027. The monthly lease payments are approximately $2.</w:t>
      </w:r>
    </w:p>
    <w:p>
      <w:pPr>
        <w:spacing w:after="0" w:line="16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In July 2025, the Subsidiary entered into a lease agreement for its Israel office for the period from July 2025 until October 2029. The monthly lease payments are approximately $20. To secure the lease payments, the Company issued a bank guarantee of $56 in favor of the facility’s lessor.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the Company has several agreements for car leases.</w:t>
      </w:r>
    </w:p>
    <w:p>
      <w:pPr>
        <w:spacing w:after="0" w:line="231"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20"/>
          <w:szCs w:val="20"/>
          <w:color w:val="auto"/>
        </w:rPr>
        <w:t>For the years ended December 31, 2025 and 2024, operating lease cost, which is classified as a component of research and development in the consolidated statement of comprehensive loss for all periods presented, was $256 and $215, respectively. Also for the years ended December 31, 2025 and 2024, cash paid under operating lease agreements were $212 and $219,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Undiscounted maturities of future operating lease payments as of December 31, 2025 are summarized as follows:</w:t>
      </w:r>
    </w:p>
    <w:p>
      <w:pPr>
        <w:sectPr>
          <w:pgSz w:w="12240" w:h="15840" w:orient="portrait"/>
          <w:cols w:equalWidth="0" w:num="1">
            <w:col w:w="9420"/>
          </w:cols>
          <w:pgMar w:left="1440" w:top="1440" w:right="1380" w:bottom="4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420"/>
          </w:cols>
          <w:pgMar w:left="1440" w:top="1440" w:right="1380" w:bottom="462" w:gutter="0" w:footer="0" w:header="0"/>
          <w:type w:val="continuous"/>
        </w:sectPr>
      </w:pPr>
    </w:p>
    <w:bookmarkStart w:id="80" w:name="page81"/>
    <w:bookmarkEnd w:id="80"/>
    <w:tbl>
      <w:tblPr>
        <w:tblLayout w:type="fixed"/>
        <w:tblInd w:w="108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As of December 31, 2025</w:t>
            </w:r>
          </w:p>
        </w:tc>
      </w:tr>
      <w:tr>
        <w:trPr>
          <w:trHeight w:val="228"/>
        </w:trPr>
        <w:tc>
          <w:tcPr>
            <w:tcW w:w="60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19"/>
                <w:szCs w:val="19"/>
                <w:color w:val="auto"/>
              </w:rPr>
            </w:pPr>
          </w:p>
        </w:tc>
        <w:tc>
          <w:tcPr>
            <w:tcW w:w="2300" w:type="dxa"/>
            <w:vAlign w:val="bottom"/>
          </w:tcPr>
          <w:p>
            <w:pPr>
              <w:jc w:val="right"/>
              <w:ind w:right="940"/>
              <w:spacing w:after="0" w:line="229" w:lineRule="exact"/>
              <w:rPr>
                <w:sz w:val="20"/>
                <w:szCs w:val="20"/>
                <w:color w:val="auto"/>
              </w:rPr>
            </w:pPr>
            <w:r>
              <w:rPr>
                <w:rFonts w:ascii="Times New Roman" w:cs="Times New Roman" w:eastAsia="Times New Roman" w:hAnsi="Times New Roman"/>
                <w:sz w:val="20"/>
                <w:szCs w:val="20"/>
                <w:color w:val="auto"/>
              </w:rPr>
              <w:t>$308</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0"/>
                <w:szCs w:val="20"/>
                <w:color w:val="auto"/>
              </w:rPr>
            </w:pPr>
          </w:p>
        </w:tc>
        <w:tc>
          <w:tcPr>
            <w:tcW w:w="2300" w:type="dxa"/>
            <w:vAlign w:val="bottom"/>
          </w:tcPr>
          <w:p>
            <w:pPr>
              <w:jc w:val="right"/>
              <w:ind w:right="940"/>
              <w:spacing w:after="0"/>
              <w:rPr>
                <w:sz w:val="20"/>
                <w:szCs w:val="20"/>
                <w:color w:val="auto"/>
              </w:rPr>
            </w:pPr>
            <w:r>
              <w:rPr>
                <w:rFonts w:ascii="Times New Roman" w:cs="Times New Roman" w:eastAsia="Times New Roman" w:hAnsi="Times New Roman"/>
                <w:sz w:val="20"/>
                <w:szCs w:val="20"/>
                <w:color w:val="auto"/>
              </w:rPr>
              <w:t>256</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tcPr>
          <w:p>
            <w:pPr>
              <w:spacing w:after="0"/>
              <w:rPr>
                <w:sz w:val="20"/>
                <w:szCs w:val="20"/>
                <w:color w:val="auto"/>
              </w:rPr>
            </w:pPr>
          </w:p>
        </w:tc>
        <w:tc>
          <w:tcPr>
            <w:tcW w:w="2300" w:type="dxa"/>
            <w:vAlign w:val="bottom"/>
          </w:tcPr>
          <w:p>
            <w:pPr>
              <w:jc w:val="right"/>
              <w:ind w:right="940"/>
              <w:spacing w:after="0"/>
              <w:rPr>
                <w:sz w:val="20"/>
                <w:szCs w:val="20"/>
                <w:color w:val="auto"/>
              </w:rPr>
            </w:pPr>
            <w:r>
              <w:rPr>
                <w:rFonts w:ascii="Times New Roman" w:cs="Times New Roman" w:eastAsia="Times New Roman" w:hAnsi="Times New Roman"/>
                <w:sz w:val="20"/>
                <w:szCs w:val="20"/>
                <w:color w:val="auto"/>
              </w:rPr>
              <w:t>238</w:t>
            </w:r>
          </w:p>
        </w:tc>
      </w:tr>
      <w:tr>
        <w:trPr>
          <w:trHeight w:val="249"/>
        </w:trPr>
        <w:tc>
          <w:tcPr>
            <w:tcW w:w="602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1"/>
                <w:szCs w:val="21"/>
                <w:color w:val="auto"/>
              </w:rPr>
            </w:pPr>
          </w:p>
        </w:tc>
        <w:tc>
          <w:tcPr>
            <w:tcW w:w="230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20"/>
                <w:szCs w:val="20"/>
                <w:color w:val="auto"/>
              </w:rPr>
              <w:t>196</w:t>
            </w:r>
          </w:p>
        </w:tc>
      </w:tr>
      <w:tr>
        <w:trPr>
          <w:trHeight w:val="211"/>
        </w:trPr>
        <w:tc>
          <w:tcPr>
            <w:tcW w:w="6040" w:type="dxa"/>
            <w:vAlign w:val="bottom"/>
            <w:gridSpan w:val="2"/>
          </w:tcPr>
          <w:p>
            <w:pPr>
              <w:spacing w:after="0" w:line="211" w:lineRule="exact"/>
              <w:rPr>
                <w:sz w:val="20"/>
                <w:szCs w:val="20"/>
                <w:color w:val="auto"/>
              </w:rPr>
            </w:pPr>
            <w:r>
              <w:rPr>
                <w:rFonts w:ascii="Times New Roman" w:cs="Times New Roman" w:eastAsia="Times New Roman" w:hAnsi="Times New Roman"/>
                <w:sz w:val="20"/>
                <w:szCs w:val="20"/>
                <w:color w:val="auto"/>
              </w:rPr>
              <w:t>Total future lease payments</w:t>
            </w:r>
          </w:p>
        </w:tc>
        <w:tc>
          <w:tcPr>
            <w:tcW w:w="2300" w:type="dxa"/>
            <w:vAlign w:val="bottom"/>
          </w:tcPr>
          <w:p>
            <w:pPr>
              <w:jc w:val="right"/>
              <w:ind w:right="940"/>
              <w:spacing w:after="0" w:line="211" w:lineRule="exact"/>
              <w:rPr>
                <w:sz w:val="20"/>
                <w:szCs w:val="20"/>
                <w:color w:val="auto"/>
              </w:rPr>
            </w:pPr>
            <w:r>
              <w:rPr>
                <w:rFonts w:ascii="Times New Roman" w:cs="Times New Roman" w:eastAsia="Times New Roman" w:hAnsi="Times New Roman"/>
                <w:sz w:val="20"/>
                <w:szCs w:val="20"/>
                <w:color w:val="auto"/>
              </w:rPr>
              <w:t>998</w:t>
            </w:r>
          </w:p>
        </w:tc>
      </w:tr>
      <w:tr>
        <w:trPr>
          <w:trHeight w:val="249"/>
        </w:trPr>
        <w:tc>
          <w:tcPr>
            <w:tcW w:w="6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230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20"/>
                <w:szCs w:val="20"/>
                <w:color w:val="auto"/>
              </w:rPr>
              <w:t>(133)</w:t>
            </w:r>
          </w:p>
        </w:tc>
      </w:tr>
      <w:tr>
        <w:trPr>
          <w:trHeight w:val="237"/>
        </w:trPr>
        <w:tc>
          <w:tcPr>
            <w:tcW w:w="6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lease liabilities</w:t>
            </w:r>
          </w:p>
        </w:tc>
        <w:tc>
          <w:tcPr>
            <w:tcW w:w="2300" w:type="dxa"/>
            <w:vAlign w:val="bottom"/>
          </w:tcPr>
          <w:p>
            <w:pPr>
              <w:jc w:val="right"/>
              <w:ind w:right="940"/>
              <w:spacing w:after="0"/>
              <w:rPr>
                <w:sz w:val="20"/>
                <w:szCs w:val="20"/>
                <w:color w:val="auto"/>
              </w:rPr>
            </w:pPr>
            <w:r>
              <w:rPr>
                <w:rFonts w:ascii="Times New Roman" w:cs="Times New Roman" w:eastAsia="Times New Roman" w:hAnsi="Times New Roman"/>
                <w:sz w:val="20"/>
                <w:szCs w:val="20"/>
                <w:color w:val="auto"/>
              </w:rPr>
              <w:t>$865</w:t>
            </w:r>
          </w:p>
        </w:tc>
      </w:tr>
      <w:tr>
        <w:trPr>
          <w:trHeight w:val="20"/>
        </w:trPr>
        <w:tc>
          <w:tcPr>
            <w:tcW w:w="6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right="140"/>
        <w:spacing w:after="0" w:line="277" w:lineRule="auto"/>
        <w:rPr>
          <w:sz w:val="20"/>
          <w:szCs w:val="20"/>
          <w:color w:val="auto"/>
        </w:rPr>
      </w:pPr>
      <w:r>
        <w:rPr>
          <w:rFonts w:ascii="Times New Roman" w:cs="Times New Roman" w:eastAsia="Times New Roman" w:hAnsi="Times New Roman"/>
          <w:sz w:val="20"/>
          <w:szCs w:val="20"/>
          <w:color w:val="auto"/>
        </w:rPr>
        <w:t>The following table includes the weighted-average lease terms and discount rates for operating leases as of December 31, 2025 and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gridSpan w:val="9"/>
          </w:tcPr>
          <w:p>
            <w:pPr>
              <w:jc w:val="right"/>
              <w:ind w:right="88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626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Operating leases weighted-average remaining lease term (in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years)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3.6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626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Operating leases weighted-average discount rate</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gridSpan w:val="4"/>
          </w:tcPr>
          <w:p>
            <w:pPr>
              <w:ind w:left="820"/>
              <w:spacing w:after="0"/>
              <w:rPr>
                <w:sz w:val="20"/>
                <w:szCs w:val="20"/>
                <w:color w:val="auto"/>
              </w:rPr>
            </w:pPr>
            <w:r>
              <w:rPr>
                <w:rFonts w:ascii="Times New Roman" w:cs="Times New Roman" w:eastAsia="Times New Roman" w:hAnsi="Times New Roman"/>
                <w:sz w:val="20"/>
                <w:szCs w:val="20"/>
                <w:color w:val="auto"/>
              </w:rPr>
              <w:t>8.2%</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w w:val="95"/>
              </w:rPr>
              <w:t>6.7%</w:t>
            </w:r>
          </w:p>
        </w:tc>
        <w:tc>
          <w:tcPr>
            <w:tcW w:w="0" w:type="dxa"/>
            <w:vAlign w:val="bottom"/>
          </w:tcPr>
          <w:p>
            <w:pPr>
              <w:spacing w:after="0"/>
              <w:rPr>
                <w:sz w:val="1"/>
                <w:szCs w:val="1"/>
                <w:color w:val="auto"/>
              </w:rPr>
            </w:pPr>
          </w:p>
        </w:tc>
      </w:tr>
      <w:tr>
        <w:trPr>
          <w:trHeight w:val="465"/>
        </w:trPr>
        <w:tc>
          <w:tcPr>
            <w:tcW w:w="6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8 - PROPERTY AND EQUIPMENT, NET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9"/>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0" w:type="dxa"/>
            <w:vAlign w:val="bottom"/>
          </w:tcPr>
          <w:p>
            <w:pPr>
              <w:spacing w:after="0"/>
              <w:rPr>
                <w:sz w:val="1"/>
                <w:szCs w:val="1"/>
                <w:color w:val="auto"/>
              </w:rPr>
            </w:pPr>
          </w:p>
        </w:tc>
      </w:tr>
      <w:tr>
        <w:trPr>
          <w:trHeight w:val="230"/>
        </w:trPr>
        <w:tc>
          <w:tcPr>
            <w:tcW w:w="6260" w:type="dxa"/>
            <w:vAlign w:val="bottom"/>
            <w:vMerge w:val="restart"/>
          </w:tcPr>
          <w:p>
            <w:pPr>
              <w:ind w:left="1080"/>
              <w:spacing w:after="0"/>
              <w:rPr>
                <w:sz w:val="20"/>
                <w:szCs w:val="20"/>
                <w:color w:val="auto"/>
              </w:rPr>
            </w:pPr>
            <w:r>
              <w:rPr>
                <w:rFonts w:ascii="Times New Roman" w:cs="Times New Roman" w:eastAsia="Times New Roman" w:hAnsi="Times New Roman"/>
                <w:sz w:val="20"/>
                <w:szCs w:val="20"/>
                <w:b w:val="1"/>
                <w:bCs w:val="1"/>
                <w:color w:val="auto"/>
              </w:rPr>
              <w:t>Cost: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Research equipment and software</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241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193</w:t>
            </w:r>
          </w:p>
        </w:tc>
        <w:tc>
          <w:tcPr>
            <w:tcW w:w="0" w:type="dxa"/>
            <w:vAlign w:val="bottom"/>
          </w:tcPr>
          <w:p>
            <w:pPr>
              <w:spacing w:after="0"/>
              <w:rPr>
                <w:sz w:val="1"/>
                <w:szCs w:val="1"/>
                <w:color w:val="auto"/>
              </w:rPr>
            </w:pPr>
          </w:p>
        </w:tc>
      </w:tr>
      <w:tr>
        <w:trPr>
          <w:trHeight w:val="230"/>
        </w:trPr>
        <w:tc>
          <w:tcPr>
            <w:tcW w:w="62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Leasehold improvement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229</w:t>
            </w:r>
          </w:p>
        </w:tc>
        <w:tc>
          <w:tcPr>
            <w:tcW w:w="0" w:type="dxa"/>
            <w:vAlign w:val="bottom"/>
          </w:tcPr>
          <w:p>
            <w:pPr>
              <w:spacing w:after="0"/>
              <w:rPr>
                <w:sz w:val="1"/>
                <w:szCs w:val="1"/>
                <w:color w:val="auto"/>
              </w:rPr>
            </w:pPr>
          </w:p>
        </w:tc>
      </w:tr>
      <w:tr>
        <w:trPr>
          <w:trHeight w:val="249"/>
        </w:trPr>
        <w:tc>
          <w:tcPr>
            <w:tcW w:w="62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Furniture and office equipment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242</w:t>
            </w:r>
          </w:p>
        </w:tc>
        <w:tc>
          <w:tcPr>
            <w:tcW w:w="0" w:type="dxa"/>
            <w:vAlign w:val="bottom"/>
          </w:tcPr>
          <w:p>
            <w:pPr>
              <w:spacing w:after="0"/>
              <w:rPr>
                <w:sz w:val="1"/>
                <w:szCs w:val="1"/>
                <w:color w:val="auto"/>
              </w:rPr>
            </w:pPr>
          </w:p>
        </w:tc>
      </w:tr>
      <w:tr>
        <w:trPr>
          <w:trHeight w:val="230"/>
        </w:trPr>
        <w:tc>
          <w:tcPr>
            <w:tcW w:w="6260" w:type="dxa"/>
            <w:vAlign w:val="bottom"/>
            <w:vMerge w:val="restart"/>
          </w:tcPr>
          <w:p>
            <w:pPr>
              <w:ind w:left="1080"/>
              <w:spacing w:after="0"/>
              <w:rPr>
                <w:sz w:val="20"/>
                <w:szCs w:val="20"/>
                <w:color w:val="auto"/>
              </w:rPr>
            </w:pPr>
            <w:r>
              <w:rPr>
                <w:rFonts w:ascii="Times New Roman" w:cs="Times New Roman" w:eastAsia="Times New Roman" w:hAnsi="Times New Roman"/>
                <w:sz w:val="20"/>
                <w:szCs w:val="20"/>
                <w:b w:val="1"/>
                <w:bCs w:val="1"/>
                <w:color w:val="auto"/>
              </w:rPr>
              <w:t>Accumulated Depreciation: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724</w:t>
            </w:r>
          </w:p>
        </w:tc>
        <w:tc>
          <w:tcPr>
            <w:tcW w:w="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Research equipment and software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152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138</w:t>
            </w:r>
          </w:p>
        </w:tc>
        <w:tc>
          <w:tcPr>
            <w:tcW w:w="0" w:type="dxa"/>
            <w:vAlign w:val="bottom"/>
          </w:tcPr>
          <w:p>
            <w:pPr>
              <w:spacing w:after="0"/>
              <w:rPr>
                <w:sz w:val="1"/>
                <w:szCs w:val="1"/>
                <w:color w:val="auto"/>
              </w:rPr>
            </w:pPr>
          </w:p>
        </w:tc>
      </w:tr>
      <w:tr>
        <w:trPr>
          <w:trHeight w:val="230"/>
        </w:trPr>
        <w:tc>
          <w:tcPr>
            <w:tcW w:w="62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Leasehold improvement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49"/>
        </w:trPr>
        <w:tc>
          <w:tcPr>
            <w:tcW w:w="626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Furniture and office equipment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236</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631</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9 - ACCRUED LIABILITIES</w:t>
            </w: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6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9"/>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0" w:type="dxa"/>
            <w:vAlign w:val="bottom"/>
          </w:tcPr>
          <w:p>
            <w:pPr>
              <w:spacing w:after="0"/>
              <w:rPr>
                <w:sz w:val="1"/>
                <w:szCs w:val="1"/>
                <w:color w:val="auto"/>
              </w:rPr>
            </w:pPr>
          </w:p>
        </w:tc>
      </w:tr>
      <w:tr>
        <w:trPr>
          <w:trHeight w:val="232"/>
        </w:trPr>
        <w:tc>
          <w:tcPr>
            <w:tcW w:w="6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626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Employee-related liabilities</w:t>
            </w:r>
          </w:p>
        </w:tc>
        <w:tc>
          <w:tcPr>
            <w:tcW w:w="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1,979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1,409</w:t>
            </w:r>
          </w:p>
        </w:tc>
        <w:tc>
          <w:tcPr>
            <w:tcW w:w="0" w:type="dxa"/>
            <w:vAlign w:val="bottom"/>
          </w:tcPr>
          <w:p>
            <w:pPr>
              <w:spacing w:after="0"/>
              <w:rPr>
                <w:sz w:val="1"/>
                <w:szCs w:val="1"/>
                <w:color w:val="auto"/>
              </w:rPr>
            </w:pPr>
          </w:p>
        </w:tc>
      </w:tr>
      <w:tr>
        <w:trPr>
          <w:trHeight w:val="230"/>
        </w:trPr>
        <w:tc>
          <w:tcPr>
            <w:tcW w:w="626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Accrued expenses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537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811</w:t>
            </w:r>
          </w:p>
        </w:tc>
        <w:tc>
          <w:tcPr>
            <w:tcW w:w="0" w:type="dxa"/>
            <w:vAlign w:val="bottom"/>
          </w:tcPr>
          <w:p>
            <w:pPr>
              <w:spacing w:after="0"/>
              <w:rPr>
                <w:sz w:val="1"/>
                <w:szCs w:val="1"/>
                <w:color w:val="auto"/>
              </w:rPr>
            </w:pPr>
          </w:p>
        </w:tc>
      </w:tr>
      <w:tr>
        <w:trPr>
          <w:trHeight w:val="230"/>
        </w:trPr>
        <w:tc>
          <w:tcPr>
            <w:tcW w:w="626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Deferred income grants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26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2,614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2,225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NOTE 10 -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Government grants:</w:t>
      </w:r>
    </w:p>
    <w:p>
      <w:pPr>
        <w:spacing w:after="0" w:line="235" w:lineRule="exact"/>
        <w:rPr>
          <w:sz w:val="20"/>
          <w:szCs w:val="20"/>
          <w:color w:val="auto"/>
        </w:rPr>
      </w:pPr>
    </w:p>
    <w:p>
      <w:pPr>
        <w:jc w:val="both"/>
        <w:ind w:right="140"/>
        <w:spacing w:after="0" w:line="278" w:lineRule="auto"/>
        <w:rPr>
          <w:sz w:val="20"/>
          <w:szCs w:val="20"/>
          <w:color w:val="auto"/>
        </w:rPr>
      </w:pPr>
      <w:r>
        <w:rPr>
          <w:rFonts w:ascii="Times New Roman" w:cs="Times New Roman" w:eastAsia="Times New Roman" w:hAnsi="Times New Roman"/>
          <w:sz w:val="19"/>
          <w:szCs w:val="19"/>
          <w:color w:val="auto"/>
        </w:rPr>
        <w:t>Microbot Israel has received grants from the IIA for participation in research and development since 2013 through December 31, 2025 totaling approximately $ 2,468. This includes amounts received of approximately $518, in 2025 which is a portion of an additional grant from the IIA in the amount of approximately NIS 2,153 (approximately $673)</w:t>
      </w:r>
    </w:p>
    <w:p>
      <w:pPr>
        <w:sectPr>
          <w:pgSz w:w="12240" w:h="15840" w:orient="portrait"/>
          <w:cols w:equalWidth="0" w:num="1">
            <w:col w:w="9500"/>
          </w:cols>
          <w:pgMar w:left="1440" w:top="1417" w:right="1300" w:bottom="462"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500"/>
          </w:cols>
          <w:pgMar w:left="1440" w:top="1417" w:right="1300" w:bottom="462" w:gutter="0" w:footer="0" w:header="0"/>
          <w:type w:val="continuous"/>
        </w:sectPr>
      </w:pPr>
    </w:p>
    <w:bookmarkStart w:id="81" w:name="page82"/>
    <w:bookmarkEnd w:id="81"/>
    <w:p>
      <w:pPr>
        <w:jc w:val="both"/>
        <w:spacing w:after="0" w:line="290" w:lineRule="auto"/>
        <w:rPr>
          <w:sz w:val="20"/>
          <w:szCs w:val="20"/>
          <w:color w:val="auto"/>
        </w:rPr>
      </w:pPr>
      <w:r>
        <w:rPr>
          <w:rFonts w:ascii="Times New Roman" w:cs="Times New Roman" w:eastAsia="Times New Roman" w:hAnsi="Times New Roman"/>
          <w:sz w:val="20"/>
          <w:szCs w:val="20"/>
          <w:color w:val="auto"/>
        </w:rPr>
        <w:t>approved by the IIA on July 15, 2025, to further finance the development of the manufacturing process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w:t>
      </w:r>
    </w:p>
    <w:p>
      <w:pPr>
        <w:spacing w:after="0" w:line="6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addition, as a result of the agreement with Nitiloop, on October 6, 2022, Microbot Israel took over the liability to repay Nitiloop’s IIA grants in the aggregate amount of approximately $925.</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relation to the IIA grants described above, the Company is obligated to pay royalties amounting to 3%-5% of its future sales of the products relating to such grants.</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grants are linked to the exchange rate of the dollar to the New Israeli Shekel and bears interest of SOFR per year (SOFR is a benchmark interest rate which replaced LIBOR).</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0"/>
          <w:szCs w:val="20"/>
          <w:color w:val="auto"/>
        </w:rPr>
        <w:t>As of December 31, 2025, the Company received grants from the Ministry of Economy of the State of Israel in the amount of approximately $50, to further finance the marketing activities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in the U.S. market. In relation to the Ministry of Economy grant, the Company is obligated to pay royalties amounting to 3% of future sales of the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up to the grant amount plus interest.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TRDF agreement:</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spacing w:after="0" w:line="1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(SCS) project and its TipCat assets in addition to certain technology relating to the Company’s LIBERTY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1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Endovascular Robotic Surgical System.</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 ATM agreement:</w:t>
      </w:r>
    </w:p>
    <w:p>
      <w:pPr>
        <w:spacing w:after="0" w:line="2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The Company entered into an amendment, dated July 1, 2024, to the ATM Agreement with Wainwright dated June 10, 2021, relating to the offer and sale of shares of the Company’s common stock having an aggregate offering price of up to approximately $4,820 from time to time through Wainwright, acting as sales agent. The compensation to Wainwright for sales of the shares is a placement fee of 3.0% of the gross sales price of the shares of common stock sold pursuant to this ATM Agreement. See also Notes 11D.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 Engagement letters with H.C. Wainwright:</w:t>
      </w:r>
    </w:p>
    <w:p>
      <w:pPr>
        <w:spacing w:after="0" w:line="23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color w:val="auto"/>
        </w:rPr>
        <w:t>In connection with registered direct and private placement offerings, the Company entered into engagement letters (the “Engagement Letters”) with Wainwright on October 3, 2022, on May 16, 2023, on October 24, 2023 and on May</w:t>
      </w:r>
    </w:p>
    <w:p>
      <w:pPr>
        <w:sectPr>
          <w:pgSz w:w="12240" w:h="15840" w:orient="portrait"/>
          <w:cols w:equalWidth="0" w:num="1">
            <w:col w:w="9360"/>
          </w:cols>
          <w:pgMar w:left="1440" w:top="1421" w:right="1440" w:bottom="462"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360"/>
          </w:cols>
          <w:pgMar w:left="1440" w:top="1421" w:right="1440" w:bottom="462" w:gutter="0" w:footer="0" w:header="0"/>
          <w:type w:val="continuous"/>
        </w:sectPr>
      </w:pPr>
    </w:p>
    <w:bookmarkStart w:id="82" w:name="page83"/>
    <w:bookmarkEnd w:id="82"/>
    <w:p>
      <w:pPr>
        <w:jc w:val="both"/>
        <w:spacing w:after="0" w:line="277" w:lineRule="auto"/>
        <w:rPr>
          <w:sz w:val="20"/>
          <w:szCs w:val="20"/>
          <w:color w:val="auto"/>
        </w:rPr>
      </w:pPr>
      <w:r>
        <w:rPr>
          <w:rFonts w:ascii="Times New Roman" w:cs="Times New Roman" w:eastAsia="Times New Roman" w:hAnsi="Times New Roman"/>
          <w:sz w:val="20"/>
          <w:szCs w:val="20"/>
          <w:color w:val="auto"/>
        </w:rPr>
        <w:t>29, 2024 (which was amended most recently on February 9, 2025), pursuant to which Wainwright agreed to serve as the exclusive placement agent for the issuance and sale of securities of the Company.</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compensation for such placement agent services, the Company has agreed to pay Wainwright an aggregate cash fee equal to 7.0% of the gross proceeds received by the Company from offerings contemplated by the Engagement Letters, plus in certain circumstances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 See also Note 11E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 Acquisition of Nitiloop’s assets:</w:t>
      </w:r>
    </w:p>
    <w:p>
      <w:pPr>
        <w:spacing w:after="0" w:line="2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consideration for the acquisition of the Assets, Microbot Israel shall pay royalties to Nitiloop, which shall not, in the aggregate, exceed $8,000, as follows:</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Royalties at a rate of 3%-5% of net revenue generated as a result of sales, license or other exploitation of the Devices; and</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Royalties at a rate of 1.5% of net revenue generated from the sale, license or other exploitation of commercialization of the technology as part of an integrated product.</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Based on the Company’s analysis, the Company concluded that the acquisition of the assets does not meet the definition of a business for the purpose of applying SEC Rules (S-X Rules of 3-05, 8-04 and 11-01).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 Litigation resulting from the 2017 financing:</w:t>
      </w:r>
    </w:p>
    <w:p>
      <w:pPr>
        <w:spacing w:after="0" w:line="2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9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On January 26, 2024 (the “Effective Date”), the Company entered into a settlement agreement and release with the Plaintiffs (the “Settlement Agreement”), effectively resolving the Lawsuit.</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ectPr>
          <w:pgSz w:w="12240" w:h="15840" w:orient="portrait"/>
          <w:cols w:equalWidth="0" w:num="1">
            <w:col w:w="9360"/>
          </w:cols>
          <w:pgMar w:left="1440" w:top="1421" w:right="1440" w:bottom="4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360"/>
          </w:cols>
          <w:pgMar w:left="1440" w:top="1421" w:right="1440" w:bottom="462" w:gutter="0" w:footer="0" w:header="0"/>
          <w:type w:val="continuous"/>
        </w:sectPr>
      </w:pPr>
    </w:p>
    <w:bookmarkStart w:id="83" w:name="page84"/>
    <w:bookmarkEnd w:id="83"/>
    <w:p>
      <w:pPr>
        <w:jc w:val="both"/>
        <w:spacing w:after="0" w:line="257" w:lineRule="auto"/>
        <w:rPr>
          <w:sz w:val="20"/>
          <w:szCs w:val="20"/>
          <w:color w:val="auto"/>
        </w:rPr>
      </w:pPr>
      <w:r>
        <w:rPr>
          <w:rFonts w:ascii="Times New Roman" w:cs="Times New Roman" w:eastAsia="Times New Roman" w:hAnsi="Times New Roman"/>
          <w:sz w:val="20"/>
          <w:szCs w:val="20"/>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determined that the loss contingency should be recognized as non-operating losses, offset by loss recoveries received from the Company’s insurance company.</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a result of the Settlement Agreement and the insurance recovery received from the insurance company, as of December 31, 2023, the Company recorded a current liability and a current asset on its consolidated balance sheet totaling $2,211 and $1,335, respectively. Within this asset, $1,100 represents the recovery of the cash payment of the settlement amount, and $235 represents recovery of legal expenses. A net non-operating loss of $ 1,111 from legal settlement was reflected in the Company’s consolidated statement of comprehensive loss for the year ended December 31, 2023. In the first quarter of 2024, the Company received $1,335 from the insurance company. Additionally, during the first quarter of 2024, the Company paid the settlement amount by transferring $1,100 in cash to the Plaintiffs and issuing 1,005,965 shares of the Company’s common stock, thereby settling the liability recorded as of December 31, 2023.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 Mona litigation:</w:t>
      </w:r>
    </w:p>
    <w:p>
      <w:pPr>
        <w:spacing w:after="0" w:line="2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March 2025, an appellate court held in favor of the Company with respect to a 2019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As a result, the Company received a judgment in the amount of approximately $316, net of legal fees and expenses. The amount received was recorded as other income in the Company’s audited consolidated statements of comprehensive loss.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 Employment-Related Matter</w:t>
      </w:r>
    </w:p>
    <w:p>
      <w:pPr>
        <w:spacing w:after="0" w:line="2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June 17, 2025, the Company received a demand letter from legal counsel representing a former employee in connection with an employment-related matter. On December 3, 2025, the Company received a charge filed by the former employee with the Massachusetts Commission Against Discrimination and Equal Employment Opportunity Commission, alleging discrimination and retaliation. On January 16, 2026, the Company filed a position statement responding to same and challenging the merits of the charge in total. Based on its initial assessment, the Company believes the allegations lack merit.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 Accrued bonuses</w:t>
      </w:r>
    </w:p>
    <w:p>
      <w:pPr>
        <w:spacing w:after="0" w:line="23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As of December 31, 2025, the Company recorded accrued bonuses to the CEO, executives and certain employees in the amount of $1,089, related to fiscal year 2025 (refer also to Note 18A).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 SHARE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Preferred investment options inducement</w:t>
      </w:r>
    </w:p>
    <w:p>
      <w:pPr>
        <w:spacing w:after="0" w:line="2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pursuant to which the holders agreed to exercise for cash such preferred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has an exercise price equal to $1.50 per share, and is exercisable from the date of the issuance until five and one-half</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F-19</w:t>
      </w:r>
    </w:p>
    <w:p>
      <w:pPr>
        <w:sectPr>
          <w:pgSz w:w="12240" w:h="15840" w:orient="portrait"/>
          <w:cols w:equalWidth="0" w:num="1">
            <w:col w:w="9360"/>
          </w:cols>
          <w:pgMar w:left="1440" w:top="1421" w:right="1440" w:bottom="450" w:gutter="0" w:footer="0" w:header="0"/>
        </w:sectPr>
      </w:pPr>
    </w:p>
    <w:bookmarkStart w:id="84" w:name="page85"/>
    <w:bookmarkEnd w:id="84"/>
    <w:p>
      <w:pPr>
        <w:jc w:val="both"/>
        <w:spacing w:after="0" w:line="245" w:lineRule="auto"/>
        <w:rPr>
          <w:sz w:val="20"/>
          <w:szCs w:val="20"/>
          <w:color w:val="auto"/>
        </w:rPr>
      </w:pPr>
      <w:r>
        <w:rPr>
          <w:rFonts w:ascii="Times New Roman" w:cs="Times New Roman" w:eastAsia="Times New Roman" w:hAnsi="Times New Roman"/>
          <w:sz w:val="20"/>
          <w:szCs w:val="20"/>
          <w:color w:val="auto"/>
        </w:rPr>
        <w:t>(5.5) years following the date of the issuance. The estimated fair value of the Inducement Investment Options using a Black-Scholes options pricing model is approximately $1,853. At the closing on January 3, 2024, the Company received aggregate gross proceeds of approximately $2,730 from the exercise of such preferred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The estimated fair value of the preferred investment options using a Black-Scholes options pricing model is approximately $89.</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Registered direct and private placement offerings:</w:t>
      </w:r>
    </w:p>
    <w:p>
      <w:pPr>
        <w:spacing w:after="0" w:line="2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June 3, 2024, the Company entered into Securities Purchase Agreements with institutional investors, pursuant to which the Company agreed to issue and sell, in a registered direct offering priced at-the-market under the rules of The Nasdaq Stock Market, an aggregate of 1,566,669 shares of the Company’s common stock, par value $0.01 per share, at an offering price of $1.50 per share, for aggregate gross proceeds of approximately $2,350 before deducting the placement agent fee and related offering expenses of approximately $328. In a concurrent private placement, the Company agreed to issue to the investors series F preferred investment options to purchase up to 3,133,338 shares of common stock at an exercise price of $1.50 per share. Each Series F preferred investment option is exercisable immediately and will expire two years from the initial exercise date.</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also issued to Wainwright or its designees preferred investment options to purchase up to 78,333 shares of common stock which have the same terms as investors’ preferred investment options except for an exercise price equal to $1.875 per share.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On January 6, 2025, the Company entered into Securities Purchase Agreements with institutional investors, pursuant to which the Company agreed to issue and sell, in a registered direct offering priced at-the-market under the rules of the Nasdaq Stock Market, an aggregate of 4,000,001 shares of the Company’s common stock, par value $0.01 per share, at an offering price of $1.75 per share, for aggregate gross proceeds from the offerings of approximately $7,000 before deducting the placement agent fee and related offering expenses of approximately $690. In a concurrent private placement, the Company agreed to issue to the investors series G preferred investment options to purchase up to 8,000,002 shares of common stock at an exercise price of $1.75 per share. Each Series G preferred investment option is exercisable immediately and will expire two years from the initial exercise date. The Company also issued to Wainwright or its designees preferred investment options to purchase up to 200,000 shares of common stock which have the same terms as investors’ preferred investment options except for an exercise price equal to $2.1875 per share. On January 7, 2025, the Company entered into Securities Purchase Agreements with institutional investors, pursuant to which the Company agreed to issue and sell, in a registered direct offering priced at-the-market under the rules of the Nasdaq Stock Market, an aggregate of 3,788,550 shares of the Company’s common stock, par value $0.01 per share, at an offering price of $2.27 per share, for aggregate gross proceeds from the offerings of approximately $8,600 before deducting the placement agent fee and related offering expenses of approximately $818. In a concurrent private placement, the Company agreed to issue to the investors series H preferred investment options to purchase up to 7,577,100 shares of common stock at an exercise price of $2.10 per share. Each Series H preferred investment option is exercisable immediately and will expire two years from the initial exercise date. The Company also issued to Wainwright or its designees preferred investment options to purchase up to 189,428 shares of common stock which have the same terms as investors’ preferred investment options except for an exercise price equal to $2.8375 per share. On February 9, 2025, the Company entered into Securities Purchase Agreements with institutional investors, pursuant to which the Company agreed to issue and sell, in a registered direct offering priced at-the-market under the rules of the Nasdaq Stock Market, an aggregate of 6,103,289 shares of the Company’s common stock, par value $ 0.01 per share, at an offering price of $2.13 per share, for aggregate gross proceeds from the offerings of approximately $13,000 before deducting the placement agent fee and related offering expenses of approximately $ 1,175. In a concurrent private placement, the Company agreed to issue to the investors series I preferred investment options to purchase up to 12,206,578 shares of common stock at an exercise price of $2.13 per share. Each Series I preferred investment option is exercisable on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F-20</w:t>
      </w:r>
    </w:p>
    <w:p>
      <w:pPr>
        <w:sectPr>
          <w:pgSz w:w="12240" w:h="15840" w:orient="portrait"/>
          <w:cols w:equalWidth="0" w:num="1">
            <w:col w:w="9360"/>
          </w:cols>
          <w:pgMar w:left="1440" w:top="1421" w:right="1440" w:bottom="450" w:gutter="0" w:footer="0" w:header="0"/>
        </w:sectPr>
      </w:pPr>
    </w:p>
    <w:bookmarkStart w:id="85" w:name="page86"/>
    <w:bookmarkEnd w:id="85"/>
    <w:p>
      <w:pPr>
        <w:jc w:val="both"/>
        <w:spacing w:after="0" w:line="252" w:lineRule="auto"/>
        <w:rPr>
          <w:sz w:val="20"/>
          <w:szCs w:val="20"/>
          <w:color w:val="auto"/>
        </w:rPr>
      </w:pPr>
      <w:r>
        <w:rPr>
          <w:rFonts w:ascii="Times New Roman" w:cs="Times New Roman" w:eastAsia="Times New Roman" w:hAnsi="Times New Roman"/>
          <w:sz w:val="20"/>
          <w:szCs w:val="20"/>
          <w:color w:val="auto"/>
        </w:rPr>
        <w:t>Company with respect to the issuance of all the series I preferred investment options and the shares of common stock issuable upon the exercise thereof, is received and deemed effective under Delaware law (the “Initial exercise date”), and will expire two years from the initial exercise date. Net cash settlements are not permitted under any event under the Securities Purchase Agreements.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also issued to Wainwright or its designees preferred investment options to purchase up to 305,164 shares of common stock which have the same terms as investors’ preferred investment options except for an exercise price equal to $2.6625 per share.</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June 10, 2025, at the Company’s annual meeting of stockholders, an amendment to the Company’s articles of incorporation was approved, increasing the number of authorized shares of common stock to 120,000,000. The amendment was subsequently filed with and accepted by the State of Delaware law and became effective on that date. Refer to Note 11F.</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a result, the Series I preferred investment options to purchase up to 12,206,578 shares of common stock at an exercise price of $2.13 per share, and the placement agent preferred investment options to purchase up to 305,164 shares of common stock at an exercise price of $2.6625 per share, each of which was issued on February 11, 2025, became immediately exercisable until their two year anniversary.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 Equity Classification: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common stock of the Company is classified as equity under the requirements of ASC Topic 505 Equity.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the guidance of ASC 480 and ASC 815 the warrants were classified as equity instruments.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Company analyzed the accounting treatment for all of the outstanding preferred investment options issued to Wainwright and all such preferred investment options are equity-classified awards.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 At-the-market offerings:</w:t>
      </w:r>
    </w:p>
    <w:p>
      <w:pPr>
        <w:spacing w:after="0" w:line="1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July 1, 2024, the Company filed with the SEC a prospectus supplement relating to the offer, issuance and sale of up to $4,820 of the Company’s shares of common stock pursuant to the ATM Agreement. During the fiscal year ended December 31, 2024, the Company issued 3,433,880 shares of the Company’s common stock pursuant to the ATM Agreement, for total gross proceeds of approximately $3,756 before deducting sales agent commissions and other offering expenses of $239.</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January 2025, the Company issued 842,606 shares of the Company’s common stock pursuant to the ATM Agreement, for total gross proceeds of approximately $1,062 before deducting sales agent commissions and other offering expenses of $65. The Company is no longer selling its securities pursuant to the ATM Agreement and has not as of the filing of these financial statements entered into a new or replacement ATM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 Exercise of Investment Options</w:t>
      </w:r>
    </w:p>
    <w:p>
      <w:pPr>
        <w:spacing w:after="0" w:line="1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2025, the Company raised approximately $33,855 in gross proceeds from the exercise of an aggregate of 18,613,585 outstanding Series E, Series F, Series G, Series H and Series I preferred investment options. As a result of these exercises, and in accordance with the Company’s engagement letters with its placement agent, as mentioned in Note 10D, the Company incurred placement agent cash fees of approximately $2,370. Additionally, the Company issued an aggregate of 930,680 placement agent options in accordance with such engagement letter.</w:t>
      </w:r>
    </w:p>
    <w:p>
      <w:pPr>
        <w:spacing w:after="0" w:line="19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Additionally, during the year ended December 31, 2025, the Company received gross proceeds of approximately $895 from the exercise of an aggregate of 374,167 outstanding placement agent options.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 Increase in Authorized Share</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Following the 2025 annual meeting of stockholders of the Company held on June 10, 2025, the Company filed with the State of Delaware a certificate of amendment to the Company’s restated certificate of incorporation, as amended, which increased the total number of shares of common stock authorized for issuance to 120,000,000 shares, with a corresponding increase in the total authorized shares from 61,000,000 to 121,000,000. Immediately thereafter, the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F-21</w:t>
      </w:r>
    </w:p>
    <w:p>
      <w:pPr>
        <w:sectPr>
          <w:pgSz w:w="12240" w:h="15840" w:orient="portrait"/>
          <w:cols w:equalWidth="0" w:num="1">
            <w:col w:w="9360"/>
          </w:cols>
          <w:pgMar w:left="1440" w:top="1421" w:right="1440" w:bottom="450" w:gutter="0" w:footer="0" w:header="0"/>
        </w:sectPr>
      </w:pPr>
    </w:p>
    <w:bookmarkStart w:id="86" w:name="page87"/>
    <w:bookmarkEnd w:id="86"/>
    <w:p>
      <w:pPr>
        <w:jc w:val="both"/>
        <w:spacing w:after="0" w:line="277" w:lineRule="auto"/>
        <w:rPr>
          <w:sz w:val="20"/>
          <w:szCs w:val="20"/>
          <w:color w:val="auto"/>
        </w:rPr>
      </w:pPr>
      <w:r>
        <w:rPr>
          <w:rFonts w:ascii="Times New Roman" w:cs="Times New Roman" w:eastAsia="Times New Roman" w:hAnsi="Times New Roman"/>
          <w:sz w:val="20"/>
          <w:szCs w:val="20"/>
          <w:color w:val="auto"/>
        </w:rPr>
        <w:t>Company had 121,000,000 shares of authorized stock, consisting of (i) 120,000,000 shares of common stock, and (ii) 1,000,000 shares of undesignated preferred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 Investment Inducement Transaction</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September 14, 2025, the Company entered into an inducement agreement (the “Letter Agreement”) with certain holders (the “Holders”) of existing (i) series F preferred investment options to purchase 207,224 shares of Company’s common stock at an exercise price of $1.50 per share, (ii) series G preferred investment options to purchase 628,571 shares of Company’s common stock at an exercise price of $1.75 per share, (iii) series H preferred investment options to purchase 4,702,612 shares of Company’s common stock at an exercise price of $2.10 per share, and (iv) series I preferred investment options to purchase 8,450,708 shares of Company’s common stock at an exercise price of $2.13 per share (collectively, the “Existing Preferred Investment Options”). Pursuant to the Letter Agreement, the Holders exercised for cash their Existing Preferred Investment Options to purchase an aggregate of 13,989,115 shares of Company’s common stock, at exercise prices ranging from $1.50 to $2.13 per share, in consideration for the Company’s agreement to issue new series J preferred investment options (the “New Preferred Investment Options”) to purchase up to an aggregate of 13,989,115 shares of Company’s common stock at an exercise price of $4.50 per share (collectively, the “Inducement Transaction”). The New Preferred Investment Options are exercisable beginning six months after issuance and will expire two years thereafter.</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At the first closing of the Inducement Transaction, which occurred on September 16, 2025, certain Holders exercised Existing Preferred Investment Options to purchase up to an aggregate of 12,064,627 shares of Company’s common stock for cash and received New Preferred Investment Options to purchase up to an aggregate of 12,064,627 shares of Company’s common stock. At the second closing of the Inducement Transaction on September 29, 2025, a certain Holder exercised Existing Preferred Investment Options to purchase 600,000 shares of Company’s common stock for cash and received New Preferred Investment Options to purchase up to 600,000 shares of Company’s common stock. At the third closing of the Inducement Transaction, which occurred on October 6, 2025, certain Holders exercised Existing Preferred Investment Options to purchase up to an aggregate of 1,324,488 shares of Company’s common stock for cash and received New Preferred Investment Options to purchase up to an aggregate of 1,324,488 shares of Company’s common stock.</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received aggregate gross proceeds of approximately $29,286 from the exercise of the Existing Preferred Investment Options at the closings, before deducting placement agent fees and other offering expenses of approximately $2,472, of which $101 had not been paid as of December 31, 2025. Additionally, as a result of the Inducement Transaction, and in accordance with the Company’s engagement letters with its placement agent, as mentioned in Note 10D, the Company issued an aggregate of 699,456 placement agent options.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inducement occurred concurrently with a fund raising. Pursuant to the guidance of ASC 480 and ASC 815 the warrants were classified as equity instruments before and after the warrant modification. In accordance with ASC Topic 815 guidance on equity classified warrant modifications, the incremental change in fair value of the warrants was accounted as an equity issuance cost, which was recorded to additional paid-in capital.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 Employee Stock Option Grants and Exercises: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year ended December 31, 2024:</w:t>
      </w:r>
    </w:p>
    <w:p>
      <w:pPr>
        <w:spacing w:after="0" w:line="118" w:lineRule="exact"/>
        <w:rPr>
          <w:sz w:val="20"/>
          <w:szCs w:val="20"/>
          <w:color w:val="auto"/>
        </w:rPr>
      </w:pPr>
    </w:p>
    <w:p>
      <w:pPr>
        <w:jc w:val="both"/>
        <w:ind w:left="1000" w:hanging="359"/>
        <w:spacing w:after="0" w:line="250" w:lineRule="auto"/>
        <w:tabs>
          <w:tab w:leader="none" w:pos="98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The Company granted the CEO, its executives and management, fully vested options to purchase an aggregate of 80,000 and 50,000 shares of the Company’s common stock, respectively, at an exercise price per share of $1.2684.</w:t>
      </w:r>
    </w:p>
    <w:p>
      <w:pPr>
        <w:spacing w:after="0" w:line="1" w:lineRule="exact"/>
        <w:rPr>
          <w:sz w:val="20"/>
          <w:szCs w:val="20"/>
          <w:color w:val="auto"/>
        </w:rPr>
      </w:pPr>
    </w:p>
    <w:p>
      <w:pPr>
        <w:jc w:val="both"/>
        <w:ind w:left="1000" w:hanging="359"/>
        <w:spacing w:after="0"/>
        <w:tabs>
          <w:tab w:leader="none" w:pos="98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The Company granted the CEO and certain executives, options to purchase an aggregate of 80,000 and 52,500 shares of the Company’s common stock, respectively, at an exercise price per share of $1.25. The vesting of these options is subject to the achievement of specified performance conditions. For the year ended December 31, 2024, the Company recorded an expense of $38, reflecting management’s assessment that the specified performance milestones for 35,625 of the 132,500 options were achieved by their due date.</w:t>
      </w:r>
    </w:p>
    <w:p>
      <w:pPr>
        <w:jc w:val="both"/>
        <w:ind w:left="1000" w:hanging="359"/>
        <w:spacing w:after="0" w:line="244" w:lineRule="auto"/>
        <w:tabs>
          <w:tab w:leader="none" w:pos="98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The Company granted the CEO, its executives, and certain employees, options to purchase an aggregate of 80,000 and 115,000 shares of the Company’s common stock, respectively, at an exercise price per share of $1.2684, with a vesting period of three years.</w:t>
      </w:r>
    </w:p>
    <w:p>
      <w:pPr>
        <w:sectPr>
          <w:pgSz w:w="12240" w:h="15840" w:orient="portrait"/>
          <w:cols w:equalWidth="0" w:num="1">
            <w:col w:w="9360"/>
          </w:cols>
          <w:pgMar w:left="1440" w:top="1421" w:right="1440" w:bottom="462"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360"/>
          </w:cols>
          <w:pgMar w:left="1440" w:top="1421" w:right="1440" w:bottom="462" w:gutter="0" w:footer="0" w:header="0"/>
          <w:type w:val="continuous"/>
        </w:sectPr>
      </w:pPr>
    </w:p>
    <w:bookmarkStart w:id="87" w:name="page88"/>
    <w:bookmarkEnd w:id="87"/>
    <w:p>
      <w:pPr>
        <w:ind w:left="1000" w:right="60" w:hanging="359"/>
        <w:spacing w:after="0" w:line="277" w:lineRule="auto"/>
        <w:tabs>
          <w:tab w:leader="none" w:pos="980" w:val="left"/>
        </w:tabs>
        <w:rPr>
          <w:sz w:val="20"/>
          <w:szCs w:val="20"/>
          <w:color w:val="auto"/>
        </w:rPr>
      </w:pPr>
      <w:r>
        <w:rPr>
          <w:rFonts w:ascii="Times New Roman" w:cs="Times New Roman" w:eastAsia="Times New Roman" w:hAnsi="Times New Roman"/>
          <w:sz w:val="20"/>
          <w:szCs w:val="20"/>
          <w:color w:val="auto"/>
        </w:rPr>
        <w:t xml:space="preserve">Ɣ </w:t>
      </w:r>
      <w:r>
        <w:rPr>
          <w:sz w:val="20"/>
          <w:szCs w:val="20"/>
          <w:color w:val="auto"/>
        </w:rPr>
        <w:tab/>
      </w:r>
      <w:r>
        <w:rPr>
          <w:rFonts w:ascii="Times New Roman" w:cs="Times New Roman" w:eastAsia="Times New Roman" w:hAnsi="Times New Roman"/>
          <w:sz w:val="20"/>
          <w:szCs w:val="20"/>
          <w:color w:val="auto"/>
        </w:rPr>
        <w:t>The Company granted an advisor options to purchase an aggregate of 25,000 shares of the Company’s common stock, at an exercise price per share of $0.881, with a vesting period of three years.</w:t>
      </w:r>
    </w:p>
    <w:p>
      <w:pPr>
        <w:spacing w:after="0" w:line="158"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With respect to the CEO’s 2023 annual bonus, during February 2024, the Company paid 25% of the CEO’s total 2023 bonus – amounting to approximately $99, through the grant of fully vested options to purchase an aggregate of 79,567 shares of the Company’s common stock with an exercise price per share of $1.25.</w:t>
      </w:r>
    </w:p>
    <w:p>
      <w:pPr>
        <w:spacing w:after="0" w:line="6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In February 2025, the Company determined that 35,625 out of 132,500 performance-based options granted in February 2024 had met their milestones and been vested, while the remainder 96,875 options which did not meet their milestones had been forfeited.</w:t>
      </w:r>
    </w:p>
    <w:p>
      <w:pPr>
        <w:spacing w:after="0" w:line="67"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On June 10, 2025, at the Company’s annual meeting of stockholders, an amendment to the Company’s 2020 Omnibus Performance Award Plan (as amended) was approved. This amendment increased the number of shares of common stock authorized and reserved for issuance under the plan by 2,591,019 shares.</w:t>
      </w:r>
    </w:p>
    <w:p>
      <w:pPr>
        <w:spacing w:after="0" w:line="69"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20"/>
          <w:szCs w:val="20"/>
          <w:color w:val="auto"/>
        </w:rPr>
        <w:t>During the year ended December 31, 2025, the Company granted the CEO, other executives and certain employees, and certain board members 228,000, 483,875 and 70,000 options, respectively.</w:t>
      </w:r>
    </w:p>
    <w:p>
      <w:pPr>
        <w:spacing w:after="0" w:line="48"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20"/>
          <w:szCs w:val="20"/>
          <w:color w:val="auto"/>
        </w:rPr>
        <w:t>In August 2025, a former advisor of the Company exercised 47,218 vested options at an exercise price of NIS 0.01 per option. As a result of this exercise, the Company received total consideration of approximately $1.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stock options vest over a period of three years as outlined in the option agreements evidencing such grants.</w:t>
      </w:r>
    </w:p>
    <w:p>
      <w:pPr>
        <w:spacing w:after="0" w:line="120"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20"/>
          <w:szCs w:val="20"/>
          <w:color w:val="auto"/>
        </w:rPr>
        <w:t>A summary of the Company’s option activity related to options to employees and directors, and related information is as follows:</w:t>
      </w:r>
    </w:p>
    <w:p>
      <w:pPr>
        <w:spacing w:after="0" w:line="46" w:lineRule="exact"/>
        <w:rPr>
          <w:sz w:val="20"/>
          <w:szCs w:val="20"/>
          <w:color w:val="auto"/>
        </w:rPr>
      </w:pPr>
    </w:p>
    <w:tbl>
      <w:tblPr>
        <w:tblLayout w:type="fixed"/>
        <w:tblInd w:w="108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7"/>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9"/>
              </w:rPr>
              <w:t>For the Year Ended December 31, 2025</w:t>
            </w:r>
          </w:p>
        </w:tc>
      </w:tr>
      <w:tr>
        <w:trPr>
          <w:trHeight w:val="205"/>
        </w:trPr>
        <w:tc>
          <w:tcPr>
            <w:tcW w:w="4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220"/>
              <w:spacing w:after="0" w:line="205" w:lineRule="exact"/>
              <w:rPr>
                <w:sz w:val="20"/>
                <w:szCs w:val="20"/>
                <w:color w:val="auto"/>
              </w:rPr>
            </w:pPr>
            <w:r>
              <w:rPr>
                <w:rFonts w:ascii="Times New Roman" w:cs="Times New Roman" w:eastAsia="Times New Roman" w:hAnsi="Times New Roman"/>
                <w:sz w:val="20"/>
                <w:szCs w:val="20"/>
                <w:b w:val="1"/>
                <w:bCs w:val="1"/>
                <w:color w:val="auto"/>
              </w:rPr>
              <w:t>Weighted</w:t>
            </w:r>
          </w:p>
        </w:tc>
        <w:tc>
          <w:tcPr>
            <w:tcW w:w="20" w:type="dxa"/>
            <w:vAlign w:val="bottom"/>
          </w:tcPr>
          <w:p>
            <w:pPr>
              <w:spacing w:after="0"/>
              <w:rPr>
                <w:sz w:val="17"/>
                <w:szCs w:val="17"/>
                <w:color w:val="auto"/>
              </w:rPr>
            </w:pPr>
          </w:p>
        </w:tc>
      </w:tr>
      <w:tr>
        <w:trPr>
          <w:trHeight w:val="230"/>
        </w:trPr>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Number of stock</w:t>
            </w:r>
          </w:p>
        </w:tc>
        <w:tc>
          <w:tcPr>
            <w:tcW w:w="160" w:type="dxa"/>
            <w:vAlign w:val="bottom"/>
          </w:tcPr>
          <w:p>
            <w:pPr>
              <w:spacing w:after="0"/>
              <w:rPr>
                <w:sz w:val="20"/>
                <w:szCs w:val="20"/>
                <w:color w:val="auto"/>
              </w:rPr>
            </w:pPr>
          </w:p>
        </w:tc>
        <w:tc>
          <w:tcPr>
            <w:tcW w:w="14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average exercise</w:t>
            </w:r>
          </w:p>
        </w:tc>
      </w:tr>
      <w:tr>
        <w:trPr>
          <w:trHeight w:val="253"/>
        </w:trPr>
        <w:tc>
          <w:tcPr>
            <w:tcW w:w="4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price</w:t>
            </w:r>
          </w:p>
        </w:tc>
        <w:tc>
          <w:tcPr>
            <w:tcW w:w="20" w:type="dxa"/>
            <w:vAlign w:val="bottom"/>
          </w:tcPr>
          <w:p>
            <w:pPr>
              <w:spacing w:after="0"/>
              <w:rPr>
                <w:sz w:val="21"/>
                <w:szCs w:val="21"/>
                <w:color w:val="auto"/>
              </w:rPr>
            </w:pPr>
          </w:p>
        </w:tc>
      </w:tr>
      <w:tr>
        <w:trPr>
          <w:trHeight w:val="442"/>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as of December 31, 2024</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2,497,366</w:t>
            </w: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4.70</w:t>
            </w:r>
          </w:p>
        </w:tc>
      </w:tr>
      <w:tr>
        <w:trPr>
          <w:trHeight w:val="230"/>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Granted</w:t>
            </w:r>
          </w:p>
        </w:tc>
        <w:tc>
          <w:tcPr>
            <w:tcW w:w="188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781,875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2.12</w:t>
            </w:r>
          </w:p>
        </w:tc>
      </w:tr>
      <w:tr>
        <w:trPr>
          <w:trHeight w:val="230"/>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Exercised</w:t>
            </w:r>
          </w:p>
        </w:tc>
        <w:tc>
          <w:tcPr>
            <w:tcW w:w="18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(47,218)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0.01</w:t>
            </w:r>
          </w:p>
        </w:tc>
      </w:tr>
      <w:tr>
        <w:trPr>
          <w:trHeight w:val="249"/>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Forfeitures</w:t>
            </w:r>
          </w:p>
        </w:tc>
        <w:tc>
          <w:tcPr>
            <w:tcW w:w="18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(126,408)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3.30</w:t>
            </w:r>
          </w:p>
        </w:tc>
      </w:t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as of December 31, 2025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3,105,615</w:t>
            </w:r>
          </w:p>
        </w:tc>
        <w:tc>
          <w:tcPr>
            <w:tcW w:w="1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4.18</w:t>
            </w: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51"/>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Exercisable as of December 31, 2025</w:t>
            </w:r>
          </w:p>
        </w:tc>
        <w:tc>
          <w:tcPr>
            <w:tcW w:w="1880" w:type="dxa"/>
            <w:vAlign w:val="bottom"/>
            <w:gridSpan w:val="4"/>
          </w:tcPr>
          <w:p>
            <w:pPr>
              <w:jc w:val="right"/>
              <w:ind w:right="100"/>
              <w:spacing w:after="0"/>
              <w:rPr>
                <w:sz w:val="20"/>
                <w:szCs w:val="20"/>
                <w:color w:val="auto"/>
              </w:rPr>
            </w:pPr>
            <w:r>
              <w:rPr>
                <w:rFonts w:ascii="Times New Roman" w:cs="Times New Roman" w:eastAsia="Times New Roman" w:hAnsi="Times New Roman"/>
                <w:sz w:val="20"/>
                <w:szCs w:val="20"/>
                <w:color w:val="auto"/>
              </w:rPr>
              <w:t>2,342,707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4.91</w:t>
            </w: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4"/>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gridSpan w:val="9"/>
          </w:tcPr>
          <w:p>
            <w:pPr>
              <w:ind w:left="60"/>
              <w:spacing w:after="0"/>
              <w:rPr>
                <w:sz w:val="20"/>
                <w:szCs w:val="20"/>
                <w:color w:val="auto"/>
              </w:rPr>
            </w:pPr>
            <w:r>
              <w:rPr>
                <w:rFonts w:ascii="Times New Roman" w:cs="Times New Roman" w:eastAsia="Times New Roman" w:hAnsi="Times New Roman"/>
                <w:sz w:val="20"/>
                <w:szCs w:val="20"/>
                <w:b w:val="1"/>
                <w:bCs w:val="1"/>
                <w:color w:val="auto"/>
              </w:rPr>
              <w:t>For the Year Ended December 31, 2024</w:t>
            </w:r>
          </w:p>
        </w:tc>
      </w:tr>
      <w:tr>
        <w:trPr>
          <w:trHeight w:val="207"/>
        </w:trPr>
        <w:tc>
          <w:tcPr>
            <w:tcW w:w="4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120"/>
              <w:spacing w:after="0" w:line="207"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40" w:type="dxa"/>
            <w:vAlign w:val="bottom"/>
            <w:gridSpan w:val="2"/>
          </w:tcPr>
          <w:p>
            <w:pPr>
              <w:spacing w:after="0"/>
              <w:rPr>
                <w:sz w:val="18"/>
                <w:szCs w:val="18"/>
                <w:color w:val="auto"/>
              </w:rPr>
            </w:pPr>
          </w:p>
        </w:tc>
      </w:tr>
      <w:tr>
        <w:trPr>
          <w:trHeight w:val="230"/>
        </w:trPr>
        <w:tc>
          <w:tcPr>
            <w:tcW w:w="4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Number of stock</w:t>
            </w:r>
          </w:p>
        </w:tc>
        <w:tc>
          <w:tcPr>
            <w:tcW w:w="160" w:type="dxa"/>
            <w:vAlign w:val="bottom"/>
          </w:tcPr>
          <w:p>
            <w:pPr>
              <w:spacing w:after="0"/>
              <w:rPr>
                <w:sz w:val="20"/>
                <w:szCs w:val="20"/>
                <w:color w:val="auto"/>
              </w:rPr>
            </w:pPr>
          </w:p>
        </w:tc>
        <w:tc>
          <w:tcPr>
            <w:tcW w:w="14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average exercise</w:t>
            </w:r>
          </w:p>
        </w:tc>
      </w:tr>
      <w:tr>
        <w:trPr>
          <w:trHeight w:val="253"/>
        </w:trPr>
        <w:tc>
          <w:tcPr>
            <w:tcW w:w="4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price</w:t>
            </w:r>
          </w:p>
        </w:tc>
        <w:tc>
          <w:tcPr>
            <w:tcW w:w="40" w:type="dxa"/>
            <w:vAlign w:val="bottom"/>
            <w:gridSpan w:val="2"/>
          </w:tcPr>
          <w:p>
            <w:pPr>
              <w:spacing w:after="0"/>
              <w:rPr>
                <w:sz w:val="21"/>
                <w:szCs w:val="21"/>
                <w:color w:val="auto"/>
              </w:rPr>
            </w:pPr>
          </w:p>
        </w:tc>
      </w:tr>
      <w:tr>
        <w:trPr>
          <w:trHeight w:val="442"/>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2,095,362</w:t>
            </w: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5.51</w:t>
            </w:r>
          </w:p>
        </w:tc>
      </w:tr>
      <w:tr>
        <w:trPr>
          <w:trHeight w:val="228"/>
        </w:trPr>
        <w:tc>
          <w:tcPr>
            <w:tcW w:w="486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Granted</w:t>
            </w:r>
          </w:p>
        </w:tc>
        <w:tc>
          <w:tcPr>
            <w:tcW w:w="178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0"/>
                <w:szCs w:val="20"/>
                <w:color w:val="auto"/>
              </w:rPr>
              <w:t>562,067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1.24</w:t>
            </w:r>
          </w:p>
        </w:tc>
        <w:tc>
          <w:tcPr>
            <w:tcW w:w="20" w:type="dxa"/>
            <w:vAlign w:val="bottom"/>
          </w:tcPr>
          <w:p>
            <w:pPr>
              <w:spacing w:after="0"/>
              <w:rPr>
                <w:sz w:val="19"/>
                <w:szCs w:val="19"/>
                <w:color w:val="auto"/>
              </w:rPr>
            </w:pPr>
          </w:p>
        </w:tc>
      </w:tr>
      <w:tr>
        <w:trPr>
          <w:trHeight w:val="249"/>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Forfeitures</w:t>
            </w:r>
          </w:p>
        </w:tc>
        <w:tc>
          <w:tcPr>
            <w:tcW w:w="18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(160,063)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3.23</w:t>
            </w:r>
          </w:p>
        </w:tc>
        <w:tc>
          <w:tcPr>
            <w:tcW w:w="20" w:type="dxa"/>
            <w:vAlign w:val="bottom"/>
          </w:tcPr>
          <w:p>
            <w:pPr>
              <w:spacing w:after="0"/>
              <w:rPr>
                <w:sz w:val="21"/>
                <w:szCs w:val="21"/>
                <w:color w:val="auto"/>
              </w:rPr>
            </w:pPr>
          </w:p>
        </w:tc>
      </w:tr>
      <w:tr>
        <w:trPr>
          <w:trHeight w:val="237"/>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as of December 31, 2024</w:t>
            </w:r>
          </w:p>
        </w:tc>
        <w:tc>
          <w:tcPr>
            <w:tcW w:w="1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2,497,366</w:t>
            </w:r>
          </w:p>
        </w:tc>
        <w:tc>
          <w:tcPr>
            <w:tcW w:w="10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4.70</w:t>
            </w: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1"/>
        </w:trPr>
        <w:tc>
          <w:tcPr>
            <w:tcW w:w="4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Exercisable as of December 31, 2024</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1,866,523</w:t>
            </w: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5.63</w:t>
            </w:r>
          </w:p>
        </w:tc>
        <w:tc>
          <w:tcPr>
            <w:tcW w:w="20" w:type="dxa"/>
            <w:vAlign w:val="bottom"/>
          </w:tcPr>
          <w:p>
            <w:pPr>
              <w:spacing w:after="0"/>
              <w:rPr>
                <w:sz w:val="24"/>
                <w:szCs w:val="24"/>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recognizes forfeitures of outstanding options as they occur.</w:t>
      </w:r>
    </w:p>
    <w:p>
      <w:pPr>
        <w:spacing w:after="0" w:line="231"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20"/>
          <w:szCs w:val="20"/>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2025 and 2024, respectively.</w:t>
      </w:r>
    </w:p>
    <w:p>
      <w:pPr>
        <w:sectPr>
          <w:pgSz w:w="12240" w:h="15840" w:orient="portrait"/>
          <w:cols w:equalWidth="0" w:num="1">
            <w:col w:w="9420"/>
          </w:cols>
          <w:pgMar w:left="1440" w:top="1421" w:right="1380" w:bottom="462"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420"/>
          </w:cols>
          <w:pgMar w:left="1440" w:top="1421" w:right="1380" w:bottom="462" w:gutter="0" w:footer="0" w:header="0"/>
          <w:type w:val="continuous"/>
        </w:sectPr>
      </w:pPr>
    </w:p>
    <w:bookmarkStart w:id="88" w:name="page89"/>
    <w:bookmarkEnd w:id="88"/>
    <w:p>
      <w:pPr>
        <w:jc w:val="both"/>
        <w:ind w:right="60"/>
        <w:spacing w:after="0" w:line="277" w:lineRule="auto"/>
        <w:rPr>
          <w:sz w:val="20"/>
          <w:szCs w:val="20"/>
          <w:color w:val="auto"/>
        </w:rPr>
      </w:pPr>
      <w:r>
        <w:rPr>
          <w:rFonts w:ascii="Times New Roman" w:cs="Times New Roman" w:eastAsia="Times New Roman" w:hAnsi="Times New Roman"/>
          <w:sz w:val="20"/>
          <w:szCs w:val="20"/>
          <w:color w:val="auto"/>
        </w:rPr>
        <w:t>As of December 31, 2025, and 2024, the aggregate intrinsic value of the outstanding options is $726 and $75, respectively, and the aggregate intrinsic value of the exercisable options is $558 and $69, respectively.</w:t>
      </w:r>
    </w:p>
    <w:p>
      <w:pPr>
        <w:spacing w:after="0" w:line="158"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20"/>
          <w:szCs w:val="20"/>
          <w:color w:val="auto"/>
        </w:rPr>
        <w:t>The weighted average grant date fair value of options granted during the years ended December 31, 2025 and 2024 was $1.65 and $0.99, respectively.</w:t>
      </w:r>
    </w:p>
    <w:p>
      <w:pPr>
        <w:spacing w:after="0" w:line="160"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20"/>
          <w:szCs w:val="20"/>
          <w:color w:val="auto"/>
        </w:rPr>
        <w:t>As of December 31, 2025, there were approximately $1,109 of total unrecognized compensation costs related to unvested share-based compensation awards granted under the Share Incentive Plan. The costs are expected to be recognized over a weighted average period of 2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stock options outstanding as of December 31, 2025 and 2024, summarized by exercise prices,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160" w:type="dxa"/>
            <w:vAlign w:val="bottom"/>
          </w:tcPr>
          <w:p>
            <w:pPr>
              <w:spacing w:after="0"/>
              <w:rPr>
                <w:sz w:val="20"/>
                <w:szCs w:val="20"/>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160" w:type="dxa"/>
            <w:vAlign w:val="bottom"/>
          </w:tcPr>
          <w:p>
            <w:pPr>
              <w:spacing w:after="0"/>
              <w:rPr>
                <w:sz w:val="19"/>
                <w:szCs w:val="19"/>
                <w:color w:val="auto"/>
              </w:rPr>
            </w:pPr>
          </w:p>
        </w:tc>
        <w:tc>
          <w:tcPr>
            <w:tcW w:w="1120" w:type="dxa"/>
            <w:vAlign w:val="bottom"/>
            <w:gridSpan w:val="2"/>
          </w:tcPr>
          <w:p>
            <w:pPr>
              <w:jc w:val="center"/>
              <w:ind w:right="160"/>
              <w:spacing w:after="0" w:line="229" w:lineRule="exact"/>
              <w:rPr>
                <w:sz w:val="20"/>
                <w:szCs w:val="20"/>
                <w:color w:val="auto"/>
              </w:rPr>
            </w:pPr>
            <w:r>
              <w:rPr>
                <w:rFonts w:ascii="Times New Roman" w:cs="Times New Roman" w:eastAsia="Times New Roman" w:hAnsi="Times New Roman"/>
                <w:sz w:val="20"/>
                <w:szCs w:val="20"/>
                <w:b w:val="1"/>
                <w:bCs w:val="1"/>
                <w:color w:val="auto"/>
              </w:rPr>
              <w:t>average</w:t>
            </w:r>
          </w:p>
        </w:tc>
        <w:tc>
          <w:tcPr>
            <w:tcW w:w="20" w:type="dxa"/>
            <w:vAlign w:val="bottom"/>
          </w:tcPr>
          <w:p>
            <w:pPr>
              <w:spacing w:after="0"/>
              <w:rPr>
                <w:sz w:val="19"/>
                <w:szCs w:val="19"/>
                <w:color w:val="auto"/>
              </w:rPr>
            </w:pP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Stock</w:t>
            </w:r>
          </w:p>
        </w:tc>
        <w:tc>
          <w:tcPr>
            <w:tcW w:w="20" w:type="dxa"/>
            <w:vAlign w:val="bottom"/>
          </w:tcPr>
          <w:p>
            <w:pPr>
              <w:spacing w:after="0"/>
              <w:rPr>
                <w:sz w:val="19"/>
                <w:szCs w:val="19"/>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Stock</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5"/>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Stock</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Stock</w:t>
            </w: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16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remaining</w:t>
            </w:r>
          </w:p>
        </w:tc>
        <w:tc>
          <w:tcPr>
            <w:tcW w:w="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5"/>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options</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options</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contractual</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contractual</w:t>
            </w:r>
          </w:p>
        </w:tc>
        <w:tc>
          <w:tcPr>
            <w:tcW w:w="2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20" w:type="dxa"/>
            <w:vAlign w:val="bottom"/>
          </w:tcPr>
          <w:p>
            <w:pPr>
              <w:spacing w:after="0"/>
              <w:rPr>
                <w:sz w:val="20"/>
                <w:szCs w:val="20"/>
                <w:color w:val="auto"/>
              </w:rPr>
            </w:pPr>
          </w:p>
        </w:tc>
        <w:tc>
          <w:tcPr>
            <w:tcW w:w="9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options</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5"/>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8"/>
              </w:rPr>
              <w:t>outstanding</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outstanding</w:t>
            </w: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life – years</w:t>
            </w:r>
          </w:p>
        </w:tc>
        <w:tc>
          <w:tcPr>
            <w:tcW w:w="16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life – years</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exercisable</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exercisable</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5"/>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as of</w:t>
            </w:r>
          </w:p>
        </w:tc>
        <w:tc>
          <w:tcPr>
            <w:tcW w:w="16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2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2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as of</w:t>
            </w:r>
          </w:p>
        </w:tc>
        <w:tc>
          <w:tcPr>
            <w:tcW w:w="0" w:type="dxa"/>
            <w:vAlign w:val="bottom"/>
          </w:tcPr>
          <w:p>
            <w:pPr>
              <w:spacing w:after="0"/>
              <w:rPr>
                <w:sz w:val="1"/>
                <w:szCs w:val="1"/>
                <w:color w:val="auto"/>
              </w:rPr>
            </w:pPr>
          </w:p>
        </w:tc>
      </w:tr>
      <w:tr>
        <w:trPr>
          <w:trHeight w:val="230"/>
        </w:trPr>
        <w:tc>
          <w:tcPr>
            <w:tcW w:w="2560" w:type="dxa"/>
            <w:vAlign w:val="bottom"/>
          </w:tcPr>
          <w:p>
            <w:pPr>
              <w:ind w:left="680"/>
              <w:spacing w:after="0"/>
              <w:rPr>
                <w:sz w:val="20"/>
                <w:szCs w:val="20"/>
                <w:color w:val="auto"/>
              </w:rPr>
            </w:pPr>
            <w:r>
              <w:rPr>
                <w:rFonts w:ascii="Times New Roman" w:cs="Times New Roman" w:eastAsia="Times New Roman" w:hAnsi="Times New Roman"/>
                <w:sz w:val="20"/>
                <w:szCs w:val="20"/>
                <w:b w:val="1"/>
                <w:bCs w:val="1"/>
                <w:color w:val="auto"/>
              </w:rPr>
              <w:t>Exercise price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5"/>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December</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December</w:t>
            </w:r>
          </w:p>
        </w:tc>
        <w:tc>
          <w:tcPr>
            <w:tcW w:w="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w:t>
            </w:r>
          </w:p>
        </w:tc>
        <w:tc>
          <w:tcPr>
            <w:tcW w:w="160" w:type="dxa"/>
            <w:vAlign w:val="bottom"/>
          </w:tcPr>
          <w:p>
            <w:pPr>
              <w:spacing w:after="0"/>
              <w:rPr>
                <w:sz w:val="20"/>
                <w:szCs w:val="20"/>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December</w:t>
            </w:r>
          </w:p>
        </w:tc>
        <w:tc>
          <w:tcPr>
            <w:tcW w:w="2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December</w:t>
            </w:r>
          </w:p>
        </w:tc>
        <w:tc>
          <w:tcPr>
            <w:tcW w:w="20" w:type="dxa"/>
            <w:vAlign w:val="bottom"/>
          </w:tcPr>
          <w:p>
            <w:pPr>
              <w:spacing w:after="0"/>
              <w:rPr>
                <w:sz w:val="20"/>
                <w:szCs w:val="20"/>
                <w:color w:val="auto"/>
              </w:rPr>
            </w:pPr>
          </w:p>
        </w:tc>
        <w:tc>
          <w:tcPr>
            <w:tcW w:w="960" w:type="dxa"/>
            <w:vAlign w:val="bottom"/>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December</w:t>
            </w:r>
          </w:p>
        </w:tc>
        <w:tc>
          <w:tcPr>
            <w:tcW w:w="0" w:type="dxa"/>
            <w:vAlign w:val="bottom"/>
          </w:tcPr>
          <w:p>
            <w:pPr>
              <w:spacing w:after="0"/>
              <w:rPr>
                <w:sz w:val="1"/>
                <w:szCs w:val="1"/>
                <w:color w:val="auto"/>
              </w:rPr>
            </w:pPr>
          </w:p>
        </w:tc>
      </w:tr>
      <w:tr>
        <w:trPr>
          <w:trHeight w:val="273"/>
        </w:trPr>
        <w:tc>
          <w:tcPr>
            <w:tcW w:w="25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gridSpan w:val="3"/>
          </w:tcPr>
          <w:p>
            <w:pPr>
              <w:jc w:val="center"/>
              <w:ind w:left="40"/>
              <w:spacing w:after="0"/>
              <w:rPr>
                <w:sz w:val="20"/>
                <w:szCs w:val="20"/>
                <w:color w:val="auto"/>
              </w:rPr>
            </w:pPr>
            <w:r>
              <w:rPr>
                <w:rFonts w:ascii="Times New Roman" w:cs="Times New Roman" w:eastAsia="Times New Roman" w:hAnsi="Times New Roman"/>
                <w:sz w:val="20"/>
                <w:szCs w:val="20"/>
                <w:b w:val="1"/>
                <w:bCs w:val="1"/>
                <w:color w:val="auto"/>
                <w:w w:val="99"/>
              </w:rPr>
              <w:t>31, 2025</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31, 2024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31, 2025</w:t>
            </w:r>
          </w:p>
        </w:tc>
        <w:tc>
          <w:tcPr>
            <w:tcW w:w="1140" w:type="dxa"/>
            <w:vAlign w:val="bottom"/>
            <w:gridSpan w:val="2"/>
          </w:tcPr>
          <w:p>
            <w:pPr>
              <w:jc w:val="center"/>
              <w:ind w:left="60"/>
              <w:spacing w:after="0"/>
              <w:rPr>
                <w:sz w:val="20"/>
                <w:szCs w:val="20"/>
                <w:color w:val="auto"/>
              </w:rPr>
            </w:pPr>
            <w:r>
              <w:rPr>
                <w:rFonts w:ascii="Times New Roman" w:cs="Times New Roman" w:eastAsia="Times New Roman" w:hAnsi="Times New Roman"/>
                <w:sz w:val="20"/>
                <w:szCs w:val="20"/>
                <w:b w:val="1"/>
                <w:bCs w:val="1"/>
                <w:color w:val="auto"/>
                <w:w w:val="99"/>
              </w:rPr>
              <w:t>31, 2024</w:t>
            </w:r>
          </w:p>
        </w:tc>
        <w:tc>
          <w:tcPr>
            <w:tcW w:w="140" w:type="dxa"/>
            <w:vAlign w:val="bottom"/>
          </w:tcPr>
          <w:p>
            <w:pPr>
              <w:spacing w:after="0"/>
              <w:rPr>
                <w:sz w:val="23"/>
                <w:szCs w:val="2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31, 2025</w:t>
            </w:r>
          </w:p>
        </w:tc>
        <w:tc>
          <w:tcPr>
            <w:tcW w:w="120" w:type="dxa"/>
            <w:vAlign w:val="bottom"/>
          </w:tcPr>
          <w:p>
            <w:pPr>
              <w:spacing w:after="0"/>
              <w:rPr>
                <w:sz w:val="23"/>
                <w:szCs w:val="2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31, 2024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5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20"/>
                <w:szCs w:val="20"/>
                <w:color w:val="auto"/>
                <w:w w:val="99"/>
              </w:rPr>
              <w:t>0.00-0.99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20"/>
                <w:szCs w:val="20"/>
                <w:color w:val="auto"/>
              </w:rPr>
              <w:t>39,359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20"/>
                <w:szCs w:val="20"/>
                <w:color w:val="auto"/>
              </w:rPr>
              <w:t>86,577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20"/>
                <w:szCs w:val="20"/>
                <w:color w:val="auto"/>
              </w:rPr>
              <w:t>5.66</w:t>
            </w:r>
          </w:p>
        </w:tc>
        <w:tc>
          <w:tcPr>
            <w:tcW w:w="160" w:type="dxa"/>
            <w:vAlign w:val="bottom"/>
          </w:tcPr>
          <w:p>
            <w:pPr>
              <w:spacing w:after="0"/>
              <w:rPr>
                <w:sz w:val="16"/>
                <w:szCs w:val="16"/>
                <w:color w:val="auto"/>
              </w:rPr>
            </w:pPr>
          </w:p>
        </w:tc>
        <w:tc>
          <w:tcPr>
            <w:tcW w:w="98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20"/>
                <w:szCs w:val="20"/>
                <w:color w:val="auto"/>
              </w:rPr>
              <w:t>3.8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20"/>
                <w:szCs w:val="20"/>
                <w:color w:val="auto"/>
              </w:rPr>
              <w:t>26,234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20"/>
                <w:szCs w:val="20"/>
                <w:color w:val="auto"/>
              </w:rPr>
              <w:t>61,577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1.00-3.73</w:t>
            </w:r>
          </w:p>
        </w:tc>
        <w:tc>
          <w:tcPr>
            <w:tcW w:w="1260" w:type="dxa"/>
            <w:vAlign w:val="bottom"/>
            <w:gridSpan w:val="6"/>
          </w:tcPr>
          <w:p>
            <w:pPr>
              <w:jc w:val="right"/>
              <w:ind w:right="120"/>
              <w:spacing w:after="0"/>
              <w:rPr>
                <w:sz w:val="20"/>
                <w:szCs w:val="20"/>
                <w:color w:val="auto"/>
              </w:rPr>
            </w:pPr>
            <w:r>
              <w:rPr>
                <w:rFonts w:ascii="Times New Roman" w:cs="Times New Roman" w:eastAsia="Times New Roman" w:hAnsi="Times New Roman"/>
                <w:sz w:val="20"/>
                <w:szCs w:val="20"/>
                <w:color w:val="auto"/>
              </w:rPr>
              <w:t>2,032,875</w:t>
            </w:r>
          </w:p>
        </w:tc>
        <w:tc>
          <w:tcPr>
            <w:tcW w:w="2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1,299,562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8.7</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1,283,092</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731,559</w:t>
            </w:r>
          </w:p>
        </w:tc>
        <w:tc>
          <w:tcPr>
            <w:tcW w:w="0" w:type="dxa"/>
            <w:vAlign w:val="bottom"/>
          </w:tcPr>
          <w:p>
            <w:pPr>
              <w:spacing w:after="0"/>
              <w:rPr>
                <w:sz w:val="1"/>
                <w:szCs w:val="1"/>
                <w:color w:val="auto"/>
              </w:rPr>
            </w:pPr>
          </w:p>
        </w:tc>
      </w:tr>
      <w:tr>
        <w:trPr>
          <w:trHeight w:val="230"/>
        </w:trPr>
        <w:tc>
          <w:tcPr>
            <w:tcW w:w="2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4.2-7.26</w:t>
            </w:r>
          </w:p>
        </w:tc>
        <w:tc>
          <w:tcPr>
            <w:tcW w:w="1260" w:type="dxa"/>
            <w:vAlign w:val="bottom"/>
            <w:gridSpan w:val="6"/>
          </w:tcPr>
          <w:p>
            <w:pPr>
              <w:jc w:val="right"/>
              <w:ind w:right="140"/>
              <w:spacing w:after="0"/>
              <w:rPr>
                <w:sz w:val="20"/>
                <w:szCs w:val="20"/>
                <w:color w:val="auto"/>
              </w:rPr>
            </w:pPr>
            <w:r>
              <w:rPr>
                <w:rFonts w:ascii="Times New Roman" w:cs="Times New Roman" w:eastAsia="Times New Roman" w:hAnsi="Times New Roman"/>
                <w:sz w:val="20"/>
                <w:szCs w:val="20"/>
                <w:color w:val="auto"/>
              </w:rPr>
              <w:t>499,636</w:t>
            </w:r>
          </w:p>
        </w:tc>
        <w:tc>
          <w:tcPr>
            <w:tcW w:w="2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577,482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5.9</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499,636</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539,642</w:t>
            </w:r>
          </w:p>
        </w:tc>
        <w:tc>
          <w:tcPr>
            <w:tcW w:w="0" w:type="dxa"/>
            <w:vAlign w:val="bottom"/>
          </w:tcPr>
          <w:p>
            <w:pPr>
              <w:spacing w:after="0"/>
              <w:rPr>
                <w:sz w:val="1"/>
                <w:szCs w:val="1"/>
                <w:color w:val="auto"/>
              </w:rPr>
            </w:pPr>
          </w:p>
        </w:tc>
      </w:tr>
      <w:tr>
        <w:trPr>
          <w:trHeight w:val="230"/>
        </w:trPr>
        <w:tc>
          <w:tcPr>
            <w:tcW w:w="25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8.16-9.64</w:t>
            </w:r>
          </w:p>
        </w:tc>
        <w:tc>
          <w:tcPr>
            <w:tcW w:w="1260" w:type="dxa"/>
            <w:vAlign w:val="bottom"/>
            <w:gridSpan w:val="6"/>
          </w:tcPr>
          <w:p>
            <w:pPr>
              <w:jc w:val="right"/>
              <w:ind w:right="140"/>
              <w:spacing w:after="0"/>
              <w:rPr>
                <w:sz w:val="20"/>
                <w:szCs w:val="20"/>
                <w:color w:val="auto"/>
              </w:rPr>
            </w:pPr>
            <w:r>
              <w:rPr>
                <w:rFonts w:ascii="Times New Roman" w:cs="Times New Roman" w:eastAsia="Times New Roman" w:hAnsi="Times New Roman"/>
                <w:sz w:val="20"/>
                <w:szCs w:val="20"/>
                <w:color w:val="auto"/>
              </w:rPr>
              <w:t>380,872</w:t>
            </w:r>
          </w:p>
        </w:tc>
        <w:tc>
          <w:tcPr>
            <w:tcW w:w="2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380,872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5.6</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380,872</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380,872</w:t>
            </w:r>
          </w:p>
        </w:tc>
        <w:tc>
          <w:tcPr>
            <w:tcW w:w="0" w:type="dxa"/>
            <w:vAlign w:val="bottom"/>
          </w:tcPr>
          <w:p>
            <w:pPr>
              <w:spacing w:after="0"/>
              <w:rPr>
                <w:sz w:val="1"/>
                <w:szCs w:val="1"/>
                <w:color w:val="auto"/>
              </w:rPr>
            </w:pPr>
          </w:p>
        </w:tc>
      </w:tr>
      <w:tr>
        <w:trPr>
          <w:trHeight w:val="249"/>
        </w:trPr>
        <w:tc>
          <w:tcPr>
            <w:tcW w:w="25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15.3-15.75</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152,873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152,873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2.7</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152,873</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152,873</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3,105,615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2,497,366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2,342,707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1,866,523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20"/>
          <w:szCs w:val="20"/>
          <w:color w:val="auto"/>
        </w:rPr>
        <w:t>The grant date fair values of employee stock options granted in the years ended December 31, 2025 and 2024 were estimated using the Black-Scholes valuation model with the following:</w:t>
      </w:r>
    </w:p>
    <w:p>
      <w:pPr>
        <w:spacing w:after="0" w:line="158" w:lineRule="exact"/>
        <w:rPr>
          <w:sz w:val="20"/>
          <w:szCs w:val="20"/>
          <w:color w:val="auto"/>
        </w:rPr>
      </w:pPr>
    </w:p>
    <w:tbl>
      <w:tblPr>
        <w:tblLayout w:type="fixed"/>
        <w:tblInd w:w="1080" w:type="dxa"/>
        <w:tblCellMar>
          <w:top w:w="0" w:type="dxa"/>
          <w:left w:w="0" w:type="dxa"/>
          <w:bottom w:w="0" w:type="dxa"/>
          <w:right w:w="0" w:type="dxa"/>
        </w:tblCellMar>
      </w:tblPr>
      <w:tr>
        <w:trPr>
          <w:trHeight w:val="250"/>
        </w:trPr>
        <w:tc>
          <w:tcPr>
            <w:tcW w:w="5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40" w:type="dxa"/>
            <w:vAlign w:val="bottom"/>
            <w:gridSpan w:val="6"/>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w w:val="99"/>
              </w:rPr>
              <w:t>For the Years Ended December 31,</w:t>
            </w:r>
          </w:p>
        </w:tc>
        <w:tc>
          <w:tcPr>
            <w:tcW w:w="0" w:type="dxa"/>
            <w:vAlign w:val="bottom"/>
          </w:tcPr>
          <w:p>
            <w:pPr>
              <w:spacing w:after="0"/>
              <w:rPr>
                <w:sz w:val="1"/>
                <w:szCs w:val="1"/>
                <w:color w:val="auto"/>
              </w:rPr>
            </w:pPr>
          </w:p>
        </w:tc>
      </w:tr>
      <w:tr>
        <w:trPr>
          <w:trHeight w:val="253"/>
        </w:trPr>
        <w:tc>
          <w:tcPr>
            <w:tcW w:w="5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44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Pr>
          <w:p>
            <w:pPr>
              <w:spacing w:after="0"/>
              <w:rPr>
                <w:sz w:val="21"/>
                <w:szCs w:val="21"/>
                <w:color w:val="auto"/>
              </w:rPr>
            </w:pPr>
          </w:p>
        </w:tc>
        <w:tc>
          <w:tcPr>
            <w:tcW w:w="1440" w:type="dxa"/>
            <w:vAlign w:val="bottom"/>
            <w:gridSpan w:val="3"/>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220" w:type="dxa"/>
            <w:vAlign w:val="bottom"/>
            <w:vMerge w:val="continue"/>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Borders>
              <w:top w:val="single" w:sz="8" w:color="auto"/>
            </w:tcBorders>
          </w:tcPr>
          <w:p>
            <w:pPr>
              <w:jc w:val="right"/>
              <w:spacing w:after="0" w:line="211" w:lineRule="exact"/>
              <w:rPr>
                <w:sz w:val="20"/>
                <w:szCs w:val="20"/>
                <w:color w:val="auto"/>
              </w:rPr>
            </w:pPr>
            <w:r>
              <w:rPr>
                <w:rFonts w:ascii="Times New Roman" w:cs="Times New Roman" w:eastAsia="Times New Roman" w:hAnsi="Times New Roman"/>
                <w:sz w:val="20"/>
                <w:szCs w:val="20"/>
                <w:color w:val="auto"/>
              </w:rPr>
              <w:t>94.0%-102.3%</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tcBorders>
          </w:tcPr>
          <w:p>
            <w:pPr>
              <w:jc w:val="right"/>
              <w:spacing w:after="0" w:line="211" w:lineRule="exact"/>
              <w:rPr>
                <w:sz w:val="20"/>
                <w:szCs w:val="20"/>
                <w:color w:val="auto"/>
              </w:rPr>
            </w:pPr>
            <w:r>
              <w:rPr>
                <w:rFonts w:ascii="Times New Roman" w:cs="Times New Roman" w:eastAsia="Times New Roman" w:hAnsi="Times New Roman"/>
                <w:sz w:val="20"/>
                <w:szCs w:val="20"/>
                <w:color w:val="auto"/>
              </w:rPr>
              <w:t>90.4%-100.7%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w:t>
            </w:r>
          </w:p>
        </w:tc>
        <w:tc>
          <w:tcPr>
            <w:tcW w:w="168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3.7%-4.4%</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3.5%- 4.3%</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168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terms (years)</w:t>
            </w:r>
          </w:p>
        </w:tc>
        <w:tc>
          <w:tcPr>
            <w:tcW w:w="1680" w:type="dxa"/>
            <w:vAlign w:val="bottom"/>
            <w:gridSpan w:val="4"/>
          </w:tcPr>
          <w:p>
            <w:pPr>
              <w:jc w:val="right"/>
              <w:ind w:right="240"/>
              <w:spacing w:after="0"/>
              <w:rPr>
                <w:sz w:val="20"/>
                <w:szCs w:val="20"/>
                <w:color w:val="auto"/>
              </w:rPr>
            </w:pPr>
            <w:r>
              <w:rPr>
                <w:rFonts w:ascii="Times New Roman" w:cs="Times New Roman" w:eastAsia="Times New Roman" w:hAnsi="Times New Roman"/>
                <w:sz w:val="20"/>
                <w:szCs w:val="20"/>
                <w:color w:val="auto"/>
              </w:rPr>
              <w:t>5.5-5.8</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5-10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-765810</wp:posOffset>
            </wp:positionV>
            <wp:extent cx="1978025" cy="12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extLst>
                    </a:blip>
                    <a:srcRect/>
                    <a:stretch>
                      <a:fillRect/>
                    </a:stretch>
                  </pic:blipFill>
                  <pic:spPr bwMode="auto">
                    <a:xfrm>
                      <a:off x="0" y="0"/>
                      <a:ext cx="1978025" cy="1206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 Warrants: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remaining outstanding warrants and terms as of December 31, 2025 and 2024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Outstanding and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Outstanding and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30"/>
        </w:trPr>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2"/>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exercisable as of</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exercisable as of</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Exercise</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Exercisable</w:t>
            </w:r>
          </w:p>
        </w:tc>
      </w:tr>
      <w:tr>
        <w:trPr>
          <w:trHeight w:val="253"/>
        </w:trPr>
        <w:tc>
          <w:tcPr>
            <w:tcW w:w="2620" w:type="dxa"/>
            <w:vAlign w:val="bottom"/>
          </w:tcPr>
          <w:p>
            <w:pPr>
              <w:ind w:left="720"/>
              <w:spacing w:after="0"/>
              <w:rPr>
                <w:sz w:val="20"/>
                <w:szCs w:val="20"/>
                <w:color w:val="auto"/>
              </w:rPr>
            </w:pPr>
            <w:r>
              <w:rPr>
                <w:rFonts w:ascii="Times New Roman" w:cs="Times New Roman" w:eastAsia="Times New Roman" w:hAnsi="Times New Roman"/>
                <w:sz w:val="20"/>
                <w:szCs w:val="20"/>
                <w:b w:val="1"/>
                <w:bCs w:val="1"/>
                <w:color w:val="auto"/>
              </w:rPr>
              <w:t>Issuance date</w:t>
            </w:r>
          </w:p>
        </w:tc>
        <w:tc>
          <w:tcPr>
            <w:tcW w:w="80" w:type="dxa"/>
            <w:vAlign w:val="bottom"/>
          </w:tcPr>
          <w:p>
            <w:pPr>
              <w:spacing w:after="0"/>
              <w:rPr>
                <w:sz w:val="21"/>
                <w:szCs w:val="21"/>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Price</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Through</w:t>
            </w:r>
          </w:p>
        </w:tc>
      </w:tr>
      <w:tr>
        <w:trPr>
          <w:trHeight w:val="211"/>
        </w:trPr>
        <w:tc>
          <w:tcPr>
            <w:tcW w:w="2620" w:type="dxa"/>
            <w:vAlign w:val="bottom"/>
            <w:tcBorders>
              <w:top w:val="single" w:sz="8" w:color="auto"/>
            </w:tcBorders>
          </w:tcPr>
          <w:p>
            <w:pPr>
              <w:spacing w:after="0" w:line="211" w:lineRule="exact"/>
              <w:rPr>
                <w:sz w:val="20"/>
                <w:szCs w:val="20"/>
                <w:color w:val="auto"/>
              </w:rPr>
            </w:pPr>
            <w:r>
              <w:rPr>
                <w:rFonts w:ascii="Times New Roman" w:cs="Times New Roman" w:eastAsia="Times New Roman" w:hAnsi="Times New Roman"/>
                <w:sz w:val="20"/>
                <w:szCs w:val="20"/>
                <w:color w:val="auto"/>
              </w:rPr>
              <w:t>Warrant to underwriters</w:t>
            </w:r>
          </w:p>
        </w:tc>
        <w:tc>
          <w:tcPr>
            <w:tcW w:w="8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r>
      <w:tr>
        <w:trPr>
          <w:trHeight w:val="228"/>
        </w:trPr>
        <w:tc>
          <w:tcPr>
            <w:tcW w:w="26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October 2022</w:t>
            </w:r>
          </w:p>
        </w:tc>
        <w:tc>
          <w:tcPr>
            <w:tcW w:w="1980" w:type="dxa"/>
            <w:vAlign w:val="bottom"/>
            <w:gridSpan w:val="3"/>
          </w:tcPr>
          <w:p>
            <w:pPr>
              <w:jc w:val="right"/>
              <w:ind w:right="180"/>
              <w:spacing w:after="0" w:line="228" w:lineRule="exact"/>
              <w:rPr>
                <w:sz w:val="20"/>
                <w:szCs w:val="20"/>
                <w:color w:val="auto"/>
              </w:rPr>
            </w:pPr>
            <w:r>
              <w:rPr>
                <w:rFonts w:ascii="Times New Roman" w:cs="Times New Roman" w:eastAsia="Times New Roman" w:hAnsi="Times New Roman"/>
                <w:sz w:val="20"/>
                <w:szCs w:val="20"/>
                <w:color w:val="auto"/>
              </w:rPr>
              <w:t>51,125</w:t>
            </w:r>
          </w:p>
        </w:tc>
        <w:tc>
          <w:tcPr>
            <w:tcW w:w="1700" w:type="dxa"/>
            <w:vAlign w:val="bottom"/>
            <w:gridSpan w:val="2"/>
          </w:tcPr>
          <w:p>
            <w:pPr>
              <w:jc w:val="right"/>
              <w:ind w:right="80"/>
              <w:spacing w:after="0" w:line="228" w:lineRule="exact"/>
              <w:rPr>
                <w:sz w:val="20"/>
                <w:szCs w:val="20"/>
                <w:color w:val="auto"/>
              </w:rPr>
            </w:pPr>
            <w:r>
              <w:rPr>
                <w:rFonts w:ascii="Times New Roman" w:cs="Times New Roman" w:eastAsia="Times New Roman" w:hAnsi="Times New Roman"/>
                <w:sz w:val="20"/>
                <w:szCs w:val="20"/>
                <w:color w:val="auto"/>
              </w:rPr>
              <w:t>51,125</w:t>
            </w:r>
          </w:p>
        </w:tc>
        <w:tc>
          <w:tcPr>
            <w:tcW w:w="260" w:type="dxa"/>
            <w:vAlign w:val="bottom"/>
            <w:gridSpan w:val="2"/>
          </w:tcPr>
          <w:p>
            <w:pPr>
              <w:jc w:val="right"/>
              <w:ind w:right="80"/>
              <w:spacing w:after="0" w:line="228"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100"/>
              <w:spacing w:after="0" w:line="228" w:lineRule="exact"/>
              <w:rPr>
                <w:sz w:val="20"/>
                <w:szCs w:val="20"/>
                <w:color w:val="auto"/>
              </w:rPr>
            </w:pPr>
            <w:r>
              <w:rPr>
                <w:rFonts w:ascii="Times New Roman" w:cs="Times New Roman" w:eastAsia="Times New Roman" w:hAnsi="Times New Roman"/>
                <w:sz w:val="20"/>
                <w:szCs w:val="20"/>
                <w:color w:val="auto"/>
              </w:rPr>
              <w:t>6.11</w:t>
            </w:r>
          </w:p>
        </w:tc>
        <w:tc>
          <w:tcPr>
            <w:tcW w:w="170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rPr>
              <w:t>October 21, 2027</w:t>
            </w:r>
          </w:p>
        </w:tc>
      </w:tr>
      <w:tr>
        <w:trPr>
          <w:trHeight w:val="231"/>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May</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19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32,778</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32,778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2.75</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November 23, 2026</w:t>
            </w: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May</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19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60,476</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60,476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2.75</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November 24, 2026</w:t>
            </w: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June</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28"/>
        </w:trPr>
        <w:tc>
          <w:tcPr>
            <w:tcW w:w="262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2023</w:t>
            </w:r>
          </w:p>
        </w:tc>
        <w:tc>
          <w:tcPr>
            <w:tcW w:w="1980" w:type="dxa"/>
            <w:vAlign w:val="bottom"/>
            <w:gridSpan w:val="3"/>
          </w:tcPr>
          <w:p>
            <w:pPr>
              <w:jc w:val="right"/>
              <w:ind w:right="180"/>
              <w:spacing w:after="0" w:line="228" w:lineRule="exact"/>
              <w:rPr>
                <w:sz w:val="20"/>
                <w:szCs w:val="20"/>
                <w:color w:val="auto"/>
              </w:rPr>
            </w:pPr>
            <w:r>
              <w:rPr>
                <w:rFonts w:ascii="Times New Roman" w:cs="Times New Roman" w:eastAsia="Times New Roman" w:hAnsi="Times New Roman"/>
                <w:sz w:val="20"/>
                <w:szCs w:val="20"/>
                <w:color w:val="auto"/>
              </w:rPr>
              <w:t>35,088</w:t>
            </w:r>
          </w:p>
        </w:tc>
        <w:tc>
          <w:tcPr>
            <w:tcW w:w="1700" w:type="dxa"/>
            <w:vAlign w:val="bottom"/>
            <w:gridSpan w:val="2"/>
          </w:tcPr>
          <w:p>
            <w:pPr>
              <w:jc w:val="right"/>
              <w:ind w:right="100"/>
              <w:spacing w:after="0" w:line="228" w:lineRule="exact"/>
              <w:rPr>
                <w:sz w:val="20"/>
                <w:szCs w:val="20"/>
                <w:color w:val="auto"/>
              </w:rPr>
            </w:pPr>
            <w:r>
              <w:rPr>
                <w:rFonts w:ascii="Times New Roman" w:cs="Times New Roman" w:eastAsia="Times New Roman" w:hAnsi="Times New Roman"/>
                <w:sz w:val="20"/>
                <w:szCs w:val="20"/>
                <w:color w:val="auto"/>
              </w:rPr>
              <w:t>35,088</w:t>
            </w:r>
          </w:p>
        </w:tc>
        <w:tc>
          <w:tcPr>
            <w:tcW w:w="260" w:type="dxa"/>
            <w:vAlign w:val="bottom"/>
            <w:gridSpan w:val="2"/>
          </w:tcPr>
          <w:p>
            <w:pPr>
              <w:jc w:val="right"/>
              <w:ind w:right="80"/>
              <w:spacing w:after="0" w:line="228"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100"/>
              <w:spacing w:after="0" w:line="228" w:lineRule="exact"/>
              <w:rPr>
                <w:sz w:val="20"/>
                <w:szCs w:val="20"/>
                <w:color w:val="auto"/>
              </w:rPr>
            </w:pPr>
            <w:r>
              <w:rPr>
                <w:rFonts w:ascii="Times New Roman" w:cs="Times New Roman" w:eastAsia="Times New Roman" w:hAnsi="Times New Roman"/>
                <w:sz w:val="20"/>
                <w:szCs w:val="20"/>
                <w:color w:val="auto"/>
              </w:rPr>
              <w:t>2.67</w:t>
            </w:r>
          </w:p>
        </w:tc>
        <w:tc>
          <w:tcPr>
            <w:tcW w:w="170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rPr>
              <w:t>June 2, 2028</w:t>
            </w:r>
          </w:p>
        </w:tc>
      </w:tr>
      <w:tr>
        <w:trPr>
          <w:trHeight w:val="231"/>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Warrant to underwriters June</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19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31,231</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31,231</w:t>
            </w:r>
          </w:p>
        </w:tc>
        <w:tc>
          <w:tcPr>
            <w:tcW w:w="10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4.06</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28, 2028</w:t>
            </w:r>
          </w:p>
        </w:tc>
      </w:tr>
      <w:tr>
        <w:trPr>
          <w:trHeight w:val="265"/>
        </w:trPr>
        <w:tc>
          <w:tcPr>
            <w:tcW w:w="2620" w:type="dxa"/>
            <w:vAlign w:val="bottom"/>
          </w:tcPr>
          <w:p>
            <w:pPr>
              <w:spacing w:after="0"/>
              <w:rPr>
                <w:sz w:val="20"/>
                <w:szCs w:val="20"/>
                <w:color w:val="auto"/>
              </w:rPr>
            </w:pPr>
            <w:r>
              <w:rPr>
                <w:rFonts w:ascii="Times New Roman" w:cs="Times New Roman" w:eastAsia="Times New Roman" w:hAnsi="Times New Roman"/>
                <w:sz w:val="20"/>
                <w:szCs w:val="20"/>
                <w:color w:val="auto"/>
              </w:rPr>
              <w:t>Warrant series E January 2024</w:t>
            </w:r>
          </w:p>
        </w:tc>
        <w:tc>
          <w:tcPr>
            <w:tcW w:w="198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1,685,682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1.50</w:t>
            </w:r>
          </w:p>
        </w:tc>
        <w:tc>
          <w:tcPr>
            <w:tcW w:w="1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3, 2029</w:t>
            </w:r>
          </w:p>
        </w:tc>
      </w:tr>
    </w:tbl>
    <w:p>
      <w:pPr>
        <w:spacing w:after="0" w:line="200" w:lineRule="exact"/>
        <w:rPr>
          <w:sz w:val="20"/>
          <w:szCs w:val="20"/>
          <w:color w:val="auto"/>
        </w:rPr>
      </w:pPr>
    </w:p>
    <w:p>
      <w:pPr>
        <w:sectPr>
          <w:pgSz w:w="12240" w:h="15840" w:orient="portrait"/>
          <w:cols w:equalWidth="0" w:num="1">
            <w:col w:w="9420"/>
          </w:cols>
          <w:pgMar w:left="1440" w:top="1421" w:right="1380" w:bottom="462" w:gutter="0" w:footer="0" w:header="0"/>
        </w:sectPr>
      </w:pPr>
    </w:p>
    <w:p>
      <w:pPr>
        <w:spacing w:after="0" w:line="2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420"/>
          </w:cols>
          <w:pgMar w:left="1440" w:top="1421" w:right="1380" w:bottom="462"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to underwriters January</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8"/>
        </w:trPr>
        <w:tc>
          <w:tcPr>
            <w:tcW w:w="26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2024</w:t>
            </w:r>
          </w:p>
        </w:tc>
        <w:tc>
          <w:tcPr>
            <w:tcW w:w="20" w:type="dxa"/>
            <w:vAlign w:val="bottom"/>
          </w:tcPr>
          <w:p>
            <w:pPr>
              <w:spacing w:after="0"/>
              <w:rPr>
                <w:sz w:val="19"/>
                <w:szCs w:val="19"/>
                <w:color w:val="auto"/>
              </w:rPr>
            </w:pPr>
          </w:p>
        </w:tc>
        <w:tc>
          <w:tcPr>
            <w:tcW w:w="17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84,284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gridSpan w:val="2"/>
          </w:tcPr>
          <w:p>
            <w:pPr>
              <w:jc w:val="right"/>
              <w:ind w:right="100"/>
              <w:spacing w:after="0" w:line="229" w:lineRule="exact"/>
              <w:rPr>
                <w:sz w:val="20"/>
                <w:szCs w:val="20"/>
                <w:color w:val="auto"/>
              </w:rPr>
            </w:pPr>
            <w:r>
              <w:rPr>
                <w:rFonts w:ascii="Times New Roman" w:cs="Times New Roman" w:eastAsia="Times New Roman" w:hAnsi="Times New Roman"/>
                <w:sz w:val="20"/>
                <w:szCs w:val="20"/>
                <w:color w:val="auto"/>
              </w:rPr>
              <w:t>84,284</w:t>
            </w:r>
          </w:p>
        </w:tc>
        <w:tc>
          <w:tcPr>
            <w:tcW w:w="560" w:type="dxa"/>
            <w:vAlign w:val="bottom"/>
          </w:tcPr>
          <w:p>
            <w:pPr>
              <w:jc w:val="right"/>
              <w:ind w:right="280"/>
              <w:spacing w:after="0" w:line="229"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2.03</w:t>
            </w:r>
          </w:p>
        </w:tc>
        <w:tc>
          <w:tcPr>
            <w:tcW w:w="168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w w:val="99"/>
              </w:rPr>
              <w:t>July 3, 2029</w:t>
            </w: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series F June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3,133,338</w:t>
            </w: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3, 2026</w:t>
            </w: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to underwriters June</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28,102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78,333</w:t>
            </w: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3, 2026</w:t>
            </w: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to underwriters January</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71,750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7, 2027</w:t>
            </w:r>
          </w:p>
        </w:tc>
      </w:tr>
      <w:tr>
        <w:trPr>
          <w:trHeight w:val="228"/>
        </w:trPr>
        <w:tc>
          <w:tcPr>
            <w:tcW w:w="270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Warrant to underwriters January</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189,428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10, 2027</w:t>
            </w: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to underwriters January</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30,526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8, 2030</w:t>
            </w: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February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109,478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10, 2027</w:t>
            </w:r>
          </w:p>
        </w:tc>
      </w:tr>
      <w:tr>
        <w:trPr>
          <w:trHeight w:val="228"/>
        </w:trPr>
        <w:tc>
          <w:tcPr>
            <w:tcW w:w="270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Warrant to underwriters</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September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16, 2028</w:t>
            </w: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September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31,429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16, 2028</w:t>
            </w: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September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138,906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16, 2028</w:t>
            </w:r>
          </w:p>
        </w:tc>
      </w:tr>
      <w:tr>
        <w:trPr>
          <w:trHeight w:val="228"/>
        </w:trPr>
        <w:tc>
          <w:tcPr>
            <w:tcW w:w="270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Warrant to underwriters</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September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422,535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16, 2028</w:t>
            </w: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September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29, 2028</w:t>
            </w: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8"/>
        </w:trPr>
        <w:tc>
          <w:tcPr>
            <w:tcW w:w="270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September 2025</w:t>
            </w:r>
          </w:p>
        </w:tc>
        <w:tc>
          <w:tcPr>
            <w:tcW w:w="17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53,758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560" w:type="dxa"/>
            <w:vAlign w:val="bottom"/>
          </w:tcPr>
          <w:p>
            <w:pPr>
              <w:jc w:val="right"/>
              <w:ind w:right="280"/>
              <w:spacing w:after="0" w:line="229"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1,88</w:t>
            </w:r>
          </w:p>
        </w:tc>
        <w:tc>
          <w:tcPr>
            <w:tcW w:w="168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rPr>
              <w:t>March 16, 2031</w:t>
            </w: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September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146,306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September 16, 2027</w:t>
            </w: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September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368,572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September 16, 2027</w:t>
            </w: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8"/>
        </w:trPr>
        <w:tc>
          <w:tcPr>
            <w:tcW w:w="270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September 2025</w:t>
            </w:r>
          </w:p>
        </w:tc>
        <w:tc>
          <w:tcPr>
            <w:tcW w:w="17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143,723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560" w:type="dxa"/>
            <w:vAlign w:val="bottom"/>
          </w:tcPr>
          <w:p>
            <w:pPr>
              <w:jc w:val="right"/>
              <w:ind w:right="280"/>
              <w:spacing w:after="0" w:line="229"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2.63</w:t>
            </w:r>
          </w:p>
        </w:tc>
        <w:tc>
          <w:tcPr>
            <w:tcW w:w="168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w w:val="99"/>
              </w:rPr>
              <w:t>September 16, 2027</w:t>
            </w: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to underwriters</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September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187,794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September 16, 2027</w:t>
            </w: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series J September</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0"/>
        </w:trPr>
        <w:tc>
          <w:tcPr>
            <w:tcW w:w="268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12,064,627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16, 2028</w:t>
            </w: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series J September</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28"/>
        </w:trPr>
        <w:tc>
          <w:tcPr>
            <w:tcW w:w="26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2025</w:t>
            </w:r>
          </w:p>
        </w:tc>
        <w:tc>
          <w:tcPr>
            <w:tcW w:w="20" w:type="dxa"/>
            <w:vAlign w:val="bottom"/>
          </w:tcPr>
          <w:p>
            <w:pPr>
              <w:spacing w:after="0"/>
              <w:rPr>
                <w:sz w:val="19"/>
                <w:szCs w:val="19"/>
                <w:color w:val="auto"/>
              </w:rPr>
            </w:pPr>
          </w:p>
        </w:tc>
        <w:tc>
          <w:tcPr>
            <w:tcW w:w="17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600,000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560" w:type="dxa"/>
            <w:vAlign w:val="bottom"/>
          </w:tcPr>
          <w:p>
            <w:pPr>
              <w:jc w:val="right"/>
              <w:ind w:right="280"/>
              <w:spacing w:after="0" w:line="229"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4.50</w:t>
            </w:r>
          </w:p>
        </w:tc>
        <w:tc>
          <w:tcPr>
            <w:tcW w:w="168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color w:val="auto"/>
                <w:w w:val="99"/>
              </w:rPr>
              <w:t>March 29, 2028</w:t>
            </w:r>
          </w:p>
        </w:tc>
      </w:tr>
      <w:tr>
        <w:trPr>
          <w:trHeight w:val="230"/>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series J October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1,324,488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0"/>
                <w:szCs w:val="20"/>
                <w:color w:val="auto"/>
              </w:rPr>
            </w:pP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April 6, 2028</w:t>
            </w:r>
          </w:p>
        </w:tc>
      </w:tr>
      <w:tr>
        <w:trPr>
          <w:trHeight w:val="249"/>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Warrant series J October 2025</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66,224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5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April 6, 2028</w:t>
            </w:r>
          </w:p>
        </w:tc>
      </w:tr>
      <w:tr>
        <w:trPr>
          <w:trHeight w:val="237"/>
        </w:trPr>
        <w:tc>
          <w:tcPr>
            <w:tcW w:w="26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16,312,990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5,192,335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 BASIC AND DILUTED NET LOSS PER SHARE</w:t>
      </w:r>
    </w:p>
    <w:p>
      <w:pPr>
        <w:spacing w:after="0" w:line="1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2025 and 2024.</w:t>
      </w:r>
    </w:p>
    <w:p>
      <w:pPr>
        <w:spacing w:after="0" w:line="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 the calculation of the basic and diluted net loss, the Company included warrants that would be exercised for no or little consideration and are exercisable with no contingencies.</w:t>
      </w:r>
    </w:p>
    <w:p>
      <w:pPr>
        <w:spacing w:after="0" w:line="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Due to the net loss to common shareholders in each of the periods presented above, diluted loss per share was computed without consideration to potentially dilutive instruments as their inclusion would have been anti-dilutive. As of December 31, 2025 and 2024, potentially dilutive securities excluded from the diluted loss per share calculation are 19,418,605 and 7,689,701, respectively.</w:t>
      </w:r>
    </w:p>
    <w:p>
      <w:pPr>
        <w:sectPr>
          <w:pgSz w:w="12240" w:h="15840" w:orient="portrait"/>
          <w:cols w:equalWidth="0" w:num="1">
            <w:col w:w="9360"/>
          </w:cols>
          <w:pgMar w:left="1440" w:top="1421" w:right="1440" w:bottom="4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360"/>
          </w:cols>
          <w:pgMar w:left="1440" w:top="1421" w:right="1440" w:bottom="462"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73"/>
        </w:trPr>
        <w:tc>
          <w:tcPr>
            <w:tcW w:w="6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NOTE 13 - RESEARCH AND DEVELOPMENT EXPENSES, NET</w:t>
            </w: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0"/>
        </w:trPr>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gridSpan w:val="8"/>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tc>
        <w:tc>
          <w:tcPr>
            <w:tcW w:w="0" w:type="dxa"/>
            <w:vAlign w:val="bottom"/>
          </w:tcPr>
          <w:p>
            <w:pPr>
              <w:spacing w:after="0"/>
              <w:rPr>
                <w:sz w:val="1"/>
                <w:szCs w:val="1"/>
                <w:color w:val="auto"/>
              </w:rPr>
            </w:pPr>
          </w:p>
        </w:tc>
      </w:tr>
      <w:tr>
        <w:trPr>
          <w:trHeight w:val="230"/>
        </w:trPr>
        <w:tc>
          <w:tcPr>
            <w:tcW w:w="6280" w:type="dxa"/>
            <w:vAlign w:val="bottom"/>
            <w:vMerge w:val="restart"/>
          </w:tcPr>
          <w:p>
            <w:pPr>
              <w:ind w:left="1080"/>
              <w:spacing w:after="0"/>
              <w:rPr>
                <w:sz w:val="20"/>
                <w:szCs w:val="20"/>
                <w:color w:val="auto"/>
              </w:rPr>
            </w:pPr>
            <w:r>
              <w:rPr>
                <w:rFonts w:ascii="Times New Roman" w:cs="Times New Roman" w:eastAsia="Times New Roman" w:hAnsi="Times New Roman"/>
                <w:sz w:val="20"/>
                <w:szCs w:val="20"/>
                <w:color w:val="auto"/>
              </w:rPr>
              <w:t>Payroll and related expenses</w:t>
            </w: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ind w:right="720"/>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w w:val="85"/>
              </w:rPr>
              <w:t>(3,688)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20"/>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(3,382)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Share-based compensation</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(230)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(292)</w:t>
            </w:r>
          </w:p>
        </w:tc>
        <w:tc>
          <w:tcPr>
            <w:tcW w:w="0" w:type="dxa"/>
            <w:vAlign w:val="bottom"/>
          </w:tcPr>
          <w:p>
            <w:pPr>
              <w:spacing w:after="0"/>
              <w:rPr>
                <w:sz w:val="1"/>
                <w:szCs w:val="1"/>
                <w:color w:val="auto"/>
              </w:rPr>
            </w:pPr>
          </w:p>
        </w:tc>
      </w:tr>
      <w:tr>
        <w:trPr>
          <w:trHeight w:val="228"/>
        </w:trPr>
        <w:tc>
          <w:tcPr>
            <w:tcW w:w="6280" w:type="dxa"/>
            <w:vAlign w:val="bottom"/>
          </w:tcPr>
          <w:p>
            <w:pPr>
              <w:ind w:left="1080"/>
              <w:spacing w:after="0" w:line="229" w:lineRule="exact"/>
              <w:rPr>
                <w:sz w:val="20"/>
                <w:szCs w:val="20"/>
                <w:color w:val="auto"/>
              </w:rPr>
            </w:pPr>
            <w:r>
              <w:rPr>
                <w:rFonts w:ascii="Times New Roman" w:cs="Times New Roman" w:eastAsia="Times New Roman" w:hAnsi="Times New Roman"/>
                <w:sz w:val="20"/>
                <w:szCs w:val="20"/>
                <w:color w:val="auto"/>
              </w:rPr>
              <w:t>Materials and subcontractors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gridSpan w:val="3"/>
          </w:tcPr>
          <w:p>
            <w:pPr>
              <w:jc w:val="right"/>
              <w:ind w:right="160"/>
              <w:spacing w:after="0" w:line="229" w:lineRule="exact"/>
              <w:rPr>
                <w:sz w:val="20"/>
                <w:szCs w:val="20"/>
                <w:color w:val="auto"/>
              </w:rPr>
            </w:pPr>
            <w:r>
              <w:rPr>
                <w:rFonts w:ascii="Times New Roman" w:cs="Times New Roman" w:eastAsia="Times New Roman" w:hAnsi="Times New Roman"/>
                <w:sz w:val="20"/>
                <w:szCs w:val="20"/>
                <w:color w:val="auto"/>
                <w:w w:val="95"/>
              </w:rPr>
              <w:t>(1,898)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(2,165)</w:t>
            </w:r>
          </w:p>
        </w:tc>
        <w:tc>
          <w:tcPr>
            <w:tcW w:w="0" w:type="dxa"/>
            <w:vAlign w:val="bottom"/>
          </w:tcPr>
          <w:p>
            <w:pPr>
              <w:spacing w:after="0"/>
              <w:rPr>
                <w:sz w:val="1"/>
                <w:szCs w:val="1"/>
                <w:color w:val="auto"/>
              </w:rPr>
            </w:pPr>
          </w:p>
        </w:tc>
      </w:tr>
      <w:tr>
        <w:trPr>
          <w:trHeight w:val="230"/>
        </w:trPr>
        <w:tc>
          <w:tcPr>
            <w:tcW w:w="62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Patents</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(171)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0" w:type="dxa"/>
            <w:vAlign w:val="bottom"/>
          </w:tcPr>
          <w:p>
            <w:pPr>
              <w:spacing w:after="0"/>
              <w:rPr>
                <w:sz w:val="1"/>
                <w:szCs w:val="1"/>
                <w:color w:val="auto"/>
              </w:rPr>
            </w:pPr>
          </w:p>
        </w:tc>
      </w:tr>
      <w:tr>
        <w:trPr>
          <w:trHeight w:val="230"/>
        </w:trPr>
        <w:tc>
          <w:tcPr>
            <w:tcW w:w="62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Rent</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(270)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0" w:type="dxa"/>
            <w:vAlign w:val="bottom"/>
          </w:tcPr>
          <w:p>
            <w:pPr>
              <w:spacing w:after="0"/>
              <w:rPr>
                <w:sz w:val="1"/>
                <w:szCs w:val="1"/>
                <w:color w:val="auto"/>
              </w:rPr>
            </w:pPr>
          </w:p>
        </w:tc>
      </w:tr>
      <w:tr>
        <w:trPr>
          <w:trHeight w:val="230"/>
        </w:trPr>
        <w:tc>
          <w:tcPr>
            <w:tcW w:w="62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Office and maintenance expenses</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(122)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30"/>
        </w:trPr>
        <w:tc>
          <w:tcPr>
            <w:tcW w:w="62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Depreciation</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(43)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30"/>
        </w:trPr>
        <w:tc>
          <w:tcPr>
            <w:tcW w:w="62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(357)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0" w:type="dxa"/>
            <w:vAlign w:val="bottom"/>
          </w:tcPr>
          <w:p>
            <w:pPr>
              <w:spacing w:after="0"/>
              <w:rPr>
                <w:sz w:val="1"/>
                <w:szCs w:val="1"/>
                <w:color w:val="auto"/>
              </w:rPr>
            </w:pPr>
          </w:p>
        </w:tc>
      </w:tr>
      <w:tr>
        <w:trPr>
          <w:trHeight w:val="249"/>
        </w:trPr>
        <w:tc>
          <w:tcPr>
            <w:tcW w:w="62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Less - grants</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496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149</w:t>
            </w: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auto"/>
            </w:tcBorders>
          </w:tcPr>
          <w:p>
            <w:pPr>
              <w:jc w:val="right"/>
              <w:ind w:right="720"/>
              <w:spacing w:after="0"/>
              <w:rPr>
                <w:sz w:val="20"/>
                <w:szCs w:val="20"/>
                <w:color w:val="auto"/>
              </w:rPr>
            </w:pPr>
            <w:r>
              <w:rPr>
                <w:rFonts w:ascii="Times New Roman" w:cs="Times New Roman" w:eastAsia="Times New Roman" w:hAnsi="Times New Roman"/>
                <w:sz w:val="20"/>
                <w:szCs w:val="20"/>
                <w:color w:val="auto"/>
                <w:w w:val="79"/>
              </w:rPr>
              <w:t>$</w:t>
            </w:r>
          </w:p>
        </w:tc>
        <w:tc>
          <w:tcPr>
            <w:tcW w:w="5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85"/>
              </w:rPr>
              <w:t>(6,283)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14 – SALES, GENERAL AND ADMINISTRATIVE EXPENSES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6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gridSpan w:val="8"/>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For the Years Ended December 31,</w:t>
            </w:r>
          </w:p>
        </w:tc>
        <w:tc>
          <w:tcPr>
            <w:tcW w:w="0" w:type="dxa"/>
            <w:vAlign w:val="bottom"/>
          </w:tcPr>
          <w:p>
            <w:pPr>
              <w:spacing w:after="0"/>
              <w:rPr>
                <w:sz w:val="1"/>
                <w:szCs w:val="1"/>
                <w:color w:val="auto"/>
              </w:rPr>
            </w:pPr>
          </w:p>
        </w:tc>
      </w:tr>
      <w:tr>
        <w:trPr>
          <w:trHeight w:val="230"/>
        </w:trPr>
        <w:tc>
          <w:tcPr>
            <w:tcW w:w="6280" w:type="dxa"/>
            <w:vAlign w:val="bottom"/>
            <w:vMerge w:val="restart"/>
          </w:tcPr>
          <w:p>
            <w:pPr>
              <w:ind w:left="1080"/>
              <w:spacing w:after="0"/>
              <w:rPr>
                <w:sz w:val="20"/>
                <w:szCs w:val="20"/>
                <w:color w:val="auto"/>
              </w:rPr>
            </w:pPr>
            <w:r>
              <w:rPr>
                <w:rFonts w:ascii="Times New Roman" w:cs="Times New Roman" w:eastAsia="Times New Roman" w:hAnsi="Times New Roman"/>
                <w:sz w:val="20"/>
                <w:szCs w:val="20"/>
                <w:color w:val="auto"/>
              </w:rPr>
              <w:t>Payroll and related expenses</w:t>
            </w:r>
          </w:p>
        </w:tc>
        <w:tc>
          <w:tcPr>
            <w:tcW w:w="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ind w:right="720"/>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w w:val="85"/>
              </w:rPr>
              <w:t>(3,747)</w:t>
            </w: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20"/>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(1,994)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Government fees</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(42)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Share-based compensation</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(827)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(1,057)</w:t>
            </w:r>
          </w:p>
        </w:tc>
        <w:tc>
          <w:tcPr>
            <w:tcW w:w="0" w:type="dxa"/>
            <w:vAlign w:val="bottom"/>
          </w:tcPr>
          <w:p>
            <w:pPr>
              <w:spacing w:after="0"/>
              <w:rPr>
                <w:sz w:val="1"/>
                <w:szCs w:val="1"/>
                <w:color w:val="auto"/>
              </w:rPr>
            </w:pPr>
          </w:p>
        </w:tc>
      </w:tr>
      <w:tr>
        <w:trPr>
          <w:trHeight w:val="230"/>
        </w:trPr>
        <w:tc>
          <w:tcPr>
            <w:tcW w:w="62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Professional services</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w w:val="95"/>
              </w:rPr>
              <w:t>(1,971)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(1,059)</w:t>
            </w:r>
          </w:p>
        </w:tc>
        <w:tc>
          <w:tcPr>
            <w:tcW w:w="0" w:type="dxa"/>
            <w:vAlign w:val="bottom"/>
          </w:tcPr>
          <w:p>
            <w:pPr>
              <w:spacing w:after="0"/>
              <w:rPr>
                <w:sz w:val="1"/>
                <w:szCs w:val="1"/>
                <w:color w:val="auto"/>
              </w:rPr>
            </w:pPr>
          </w:p>
        </w:tc>
      </w:tr>
      <w:tr>
        <w:trPr>
          <w:trHeight w:val="228"/>
        </w:trPr>
        <w:tc>
          <w:tcPr>
            <w:tcW w:w="6280" w:type="dxa"/>
            <w:vAlign w:val="bottom"/>
          </w:tcPr>
          <w:p>
            <w:pPr>
              <w:ind w:left="1080"/>
              <w:spacing w:after="0" w:line="229" w:lineRule="exact"/>
              <w:rPr>
                <w:sz w:val="20"/>
                <w:szCs w:val="20"/>
                <w:color w:val="auto"/>
              </w:rPr>
            </w:pPr>
            <w:r>
              <w:rPr>
                <w:rFonts w:ascii="Times New Roman" w:cs="Times New Roman" w:eastAsia="Times New Roman" w:hAnsi="Times New Roman"/>
                <w:sz w:val="20"/>
                <w:szCs w:val="20"/>
                <w:color w:val="auto"/>
              </w:rPr>
              <w:t>Insurance</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gridSpan w:val="3"/>
          </w:tcPr>
          <w:p>
            <w:pPr>
              <w:jc w:val="right"/>
              <w:ind w:right="160"/>
              <w:spacing w:after="0" w:line="229" w:lineRule="exact"/>
              <w:rPr>
                <w:sz w:val="20"/>
                <w:szCs w:val="20"/>
                <w:color w:val="auto"/>
              </w:rPr>
            </w:pPr>
            <w:r>
              <w:rPr>
                <w:rFonts w:ascii="Times New Roman" w:cs="Times New Roman" w:eastAsia="Times New Roman" w:hAnsi="Times New Roman"/>
                <w:sz w:val="20"/>
                <w:szCs w:val="20"/>
                <w:color w:val="auto"/>
              </w:rPr>
              <w:t>(393)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(442)</w:t>
            </w:r>
          </w:p>
        </w:tc>
        <w:tc>
          <w:tcPr>
            <w:tcW w:w="0" w:type="dxa"/>
            <w:vAlign w:val="bottom"/>
          </w:tcPr>
          <w:p>
            <w:pPr>
              <w:spacing w:after="0"/>
              <w:rPr>
                <w:sz w:val="1"/>
                <w:szCs w:val="1"/>
                <w:color w:val="auto"/>
              </w:rPr>
            </w:pPr>
          </w:p>
        </w:tc>
      </w:tr>
      <w:tr>
        <w:trPr>
          <w:trHeight w:val="230"/>
        </w:trPr>
        <w:tc>
          <w:tcPr>
            <w:tcW w:w="62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Public and investor relations</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(197)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0" w:type="dxa"/>
            <w:vAlign w:val="bottom"/>
          </w:tcPr>
          <w:p>
            <w:pPr>
              <w:spacing w:after="0"/>
              <w:rPr>
                <w:sz w:val="1"/>
                <w:szCs w:val="1"/>
                <w:color w:val="auto"/>
              </w:rPr>
            </w:pPr>
          </w:p>
        </w:tc>
      </w:tr>
      <w:tr>
        <w:trPr>
          <w:trHeight w:val="230"/>
        </w:trPr>
        <w:tc>
          <w:tcPr>
            <w:tcW w:w="62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Office and maintenance expenses</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(213)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0" w:type="dxa"/>
            <w:vAlign w:val="bottom"/>
          </w:tcPr>
          <w:p>
            <w:pPr>
              <w:spacing w:after="0"/>
              <w:rPr>
                <w:sz w:val="1"/>
                <w:szCs w:val="1"/>
                <w:color w:val="auto"/>
              </w:rPr>
            </w:pPr>
          </w:p>
        </w:tc>
      </w:tr>
      <w:tr>
        <w:trPr>
          <w:trHeight w:val="230"/>
        </w:trPr>
        <w:tc>
          <w:tcPr>
            <w:tcW w:w="62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Travel</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(335)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49"/>
        </w:trPr>
        <w:tc>
          <w:tcPr>
            <w:tcW w:w="6280" w:type="dxa"/>
            <w:vAlign w:val="bottom"/>
          </w:tcPr>
          <w:p>
            <w:pPr>
              <w:ind w:left="108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(735)</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72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5"/>
              </w:rPr>
              <w:t>(8,460)</w:t>
            </w:r>
          </w:p>
        </w:tc>
        <w:tc>
          <w:tcPr>
            <w:tcW w:w="22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 SEGMENT REPORTING</w:t>
      </w:r>
    </w:p>
    <w:p>
      <w:pPr>
        <w:spacing w:after="0" w:line="122" w:lineRule="exact"/>
        <w:rPr>
          <w:sz w:val="20"/>
          <w:szCs w:val="20"/>
          <w:color w:val="auto"/>
        </w:rPr>
      </w:pPr>
    </w:p>
    <w:p>
      <w:pPr>
        <w:jc w:val="both"/>
        <w:ind w:right="140"/>
        <w:spacing w:after="0" w:line="252" w:lineRule="auto"/>
        <w:rPr>
          <w:sz w:val="20"/>
          <w:szCs w:val="20"/>
          <w:color w:val="auto"/>
        </w:rPr>
      </w:pPr>
      <w:r>
        <w:rPr>
          <w:rFonts w:ascii="Times New Roman" w:cs="Times New Roman" w:eastAsia="Times New Roman" w:hAnsi="Times New Roman"/>
          <w:sz w:val="20"/>
          <w:szCs w:val="20"/>
          <w:color w:val="auto"/>
        </w:rPr>
        <w:t>Segment information is prepared on the same basis that the Company’s chief operating decision maker (“CODM”), the Chief Executive Officer, manages the business, makes business decisions and assesses performance. The Company has one operating and reportable segment, which is the development of robotic devices for endoluminal surgery. See Note 1A for further details.</w:t>
      </w:r>
    </w:p>
    <w:p>
      <w:pPr>
        <w:spacing w:after="0" w:line="75" w:lineRule="exact"/>
        <w:rPr>
          <w:sz w:val="20"/>
          <w:szCs w:val="20"/>
          <w:color w:val="auto"/>
        </w:rPr>
      </w:pPr>
    </w:p>
    <w:p>
      <w:pPr>
        <w:jc w:val="both"/>
        <w:ind w:right="140"/>
        <w:spacing w:after="0" w:line="252" w:lineRule="auto"/>
        <w:rPr>
          <w:sz w:val="20"/>
          <w:szCs w:val="20"/>
          <w:color w:val="auto"/>
        </w:rPr>
      </w:pPr>
      <w:r>
        <w:rPr>
          <w:rFonts w:ascii="Times New Roman" w:cs="Times New Roman" w:eastAsia="Times New Roman" w:hAnsi="Times New Roman"/>
          <w:sz w:val="20"/>
          <w:szCs w:val="20"/>
          <w:color w:val="auto"/>
        </w:rPr>
        <w:t>The CODM assesses performance for this segment and decides how to allocate resources based on net loss. The measure of segment assets is reported on the balance sheet as cash and cash equivalents and marketable securities. The chief executive officer performs the assessment of segment performance by using the reported measure of segment loss to monitor actual results.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summarizes the significant expense categories regularly reviewed by the CODM for the years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88" w:lineRule="exact"/>
        <w:rPr>
          <w:sz w:val="20"/>
          <w:szCs w:val="20"/>
          <w:color w:val="auto"/>
        </w:rPr>
      </w:pPr>
    </w:p>
    <w:tbl>
      <w:tblPr>
        <w:tblLayout w:type="fixed"/>
        <w:tblInd w:w="1060" w:type="dxa"/>
        <w:tblCellMar>
          <w:top w:w="0" w:type="dxa"/>
          <w:left w:w="0" w:type="dxa"/>
          <w:bottom w:w="0" w:type="dxa"/>
          <w:right w:w="0" w:type="dxa"/>
        </w:tblCellMar>
      </w:tblPr>
      <w:tr>
        <w:trPr>
          <w:trHeight w:val="253"/>
        </w:trPr>
        <w:tc>
          <w:tcPr>
            <w:tcW w:w="5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900" w:type="dxa"/>
            <w:vAlign w:val="bottom"/>
            <w:gridSpan w:val="6"/>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30"/>
        </w:trPr>
        <w:tc>
          <w:tcPr>
            <w:tcW w:w="51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Significant segment expenses</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Payroll and payroll related</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(7,435)</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(5,376)</w:t>
            </w:r>
          </w:p>
        </w:tc>
        <w:tc>
          <w:tcPr>
            <w:tcW w:w="0" w:type="dxa"/>
            <w:vAlign w:val="bottom"/>
          </w:tcPr>
          <w:p>
            <w:pPr>
              <w:spacing w:after="0"/>
              <w:rPr>
                <w:sz w:val="1"/>
                <w:szCs w:val="1"/>
                <w:color w:val="auto"/>
              </w:rPr>
            </w:pPr>
          </w:p>
        </w:tc>
      </w:tr>
      <w:tr>
        <w:trPr>
          <w:trHeight w:val="228"/>
        </w:trPr>
        <w:tc>
          <w:tcPr>
            <w:tcW w:w="514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Materials and subcontractors</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line="228" w:lineRule="exact"/>
              <w:rPr>
                <w:sz w:val="20"/>
                <w:szCs w:val="20"/>
                <w:color w:val="auto"/>
              </w:rPr>
            </w:pPr>
            <w:r>
              <w:rPr>
                <w:rFonts w:ascii="Times New Roman" w:cs="Times New Roman" w:eastAsia="Times New Roman" w:hAnsi="Times New Roman"/>
                <w:sz w:val="20"/>
                <w:szCs w:val="20"/>
                <w:color w:val="auto"/>
              </w:rPr>
              <w:t>(1,898)</w:t>
            </w:r>
          </w:p>
        </w:tc>
        <w:tc>
          <w:tcPr>
            <w:tcW w:w="300" w:type="dxa"/>
            <w:vAlign w:val="bottom"/>
          </w:tcPr>
          <w:p>
            <w:pPr>
              <w:spacing w:after="0"/>
              <w:rPr>
                <w:sz w:val="19"/>
                <w:szCs w:val="19"/>
                <w:color w:val="auto"/>
              </w:rPr>
            </w:pPr>
          </w:p>
        </w:tc>
        <w:tc>
          <w:tcPr>
            <w:tcW w:w="120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(2,165)</w:t>
            </w:r>
          </w:p>
        </w:tc>
        <w:tc>
          <w:tcPr>
            <w:tcW w:w="0" w:type="dxa"/>
            <w:vAlign w:val="bottom"/>
          </w:tcPr>
          <w:p>
            <w:pPr>
              <w:spacing w:after="0"/>
              <w:rPr>
                <w:sz w:val="1"/>
                <w:szCs w:val="1"/>
                <w:color w:val="auto"/>
              </w:rPr>
            </w:pPr>
          </w:p>
        </w:tc>
      </w:tr>
      <w:tr>
        <w:trPr>
          <w:trHeight w:val="231"/>
        </w:trPr>
        <w:tc>
          <w:tcPr>
            <w:tcW w:w="51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Share-based compensation</w:t>
            </w:r>
          </w:p>
        </w:tc>
        <w:tc>
          <w:tcPr>
            <w:tcW w:w="26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(1,057)</w:t>
            </w:r>
          </w:p>
        </w:tc>
        <w:tc>
          <w:tcPr>
            <w:tcW w:w="3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(1,349)</w:t>
            </w:r>
          </w:p>
        </w:tc>
        <w:tc>
          <w:tcPr>
            <w:tcW w:w="0" w:type="dxa"/>
            <w:vAlign w:val="bottom"/>
          </w:tcPr>
          <w:p>
            <w:pPr>
              <w:spacing w:after="0"/>
              <w:rPr>
                <w:sz w:val="1"/>
                <w:szCs w:val="1"/>
                <w:color w:val="auto"/>
              </w:rPr>
            </w:pPr>
          </w:p>
        </w:tc>
      </w:tr>
      <w:tr>
        <w:trPr>
          <w:trHeight w:val="249"/>
        </w:trPr>
        <w:tc>
          <w:tcPr>
            <w:tcW w:w="51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 segment items (*)</w:t>
            </w:r>
          </w:p>
        </w:tc>
        <w:tc>
          <w:tcPr>
            <w:tcW w:w="2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(2,752)</w:t>
            </w:r>
          </w:p>
        </w:tc>
        <w:tc>
          <w:tcPr>
            <w:tcW w:w="3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(2,553)</w:t>
            </w:r>
          </w:p>
        </w:tc>
        <w:tc>
          <w:tcPr>
            <w:tcW w:w="0" w:type="dxa"/>
            <w:vAlign w:val="bottom"/>
          </w:tcPr>
          <w:p>
            <w:pPr>
              <w:spacing w:after="0"/>
              <w:rPr>
                <w:sz w:val="1"/>
                <w:szCs w:val="1"/>
                <w:color w:val="auto"/>
              </w:rPr>
            </w:pPr>
          </w:p>
        </w:tc>
      </w:tr>
      <w:tr>
        <w:trPr>
          <w:trHeight w:val="237"/>
        </w:trPr>
        <w:tc>
          <w:tcPr>
            <w:tcW w:w="5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2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(13,142)</w:t>
            </w: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(11,443)</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1420" w:right="280" w:hanging="232"/>
        <w:spacing w:after="0" w:line="246" w:lineRule="auto"/>
        <w:rPr>
          <w:sz w:val="20"/>
          <w:szCs w:val="20"/>
          <w:color w:val="auto"/>
        </w:rPr>
      </w:pPr>
      <w:r>
        <w:rPr>
          <w:rFonts w:ascii="Times New Roman" w:cs="Times New Roman" w:eastAsia="Times New Roman" w:hAnsi="Times New Roman"/>
          <w:sz w:val="20"/>
          <w:szCs w:val="20"/>
          <w:color w:val="auto"/>
        </w:rPr>
        <w:t>(*)Other segment expense items included within net loss include professional services, patents, overhead and depreciation, travel expenses, financial income, net, other income and other miscellaneous expenses net of grants received. See the consolidated financial statements for other financial information regarding the Company’s operating segment.</w:t>
      </w:r>
    </w:p>
    <w:p>
      <w:pPr>
        <w:sectPr>
          <w:pgSz w:w="12240" w:h="15840" w:orient="portrait"/>
          <w:cols w:equalWidth="0" w:num="1">
            <w:col w:w="9500"/>
          </w:cols>
          <w:pgMar w:left="1440" w:top="1417" w:right="1300" w:bottom="462" w:gutter="0" w:footer="0" w:header="0"/>
        </w:sectPr>
      </w:pPr>
    </w:p>
    <w:p>
      <w:pPr>
        <w:spacing w:after="0" w:line="35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500"/>
          </w:cols>
          <w:pgMar w:left="1440" w:top="1417" w:right="1300" w:bottom="462" w:gutter="0" w:footer="0" w:header="0"/>
          <w:type w:val="continuous"/>
        </w:sectPr>
      </w:pPr>
    </w:p>
    <w:bookmarkStart w:id="91" w:name="page92"/>
    <w:bookmarkEnd w:id="91"/>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Long-lived assets and operating lease right-of-use assets by geographical areas were as follows:</w:t>
      </w:r>
    </w:p>
    <w:p>
      <w:pPr>
        <w:spacing w:after="0" w:line="225" w:lineRule="exact"/>
        <w:rPr>
          <w:sz w:val="20"/>
          <w:szCs w:val="20"/>
          <w:color w:val="auto"/>
        </w:rPr>
      </w:pPr>
    </w:p>
    <w:tbl>
      <w:tblPr>
        <w:tblLayout w:type="fixed"/>
        <w:tblInd w:w="1080" w:type="dxa"/>
        <w:tblCellMar>
          <w:top w:w="0" w:type="dxa"/>
          <w:left w:w="0" w:type="dxa"/>
          <w:bottom w:w="0" w:type="dxa"/>
          <w:right w:w="0" w:type="dxa"/>
        </w:tblCellMar>
      </w:tblPr>
      <w:tr>
        <w:trPr>
          <w:trHeight w:val="253"/>
        </w:trPr>
        <w:tc>
          <w:tcPr>
            <w:tcW w:w="5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As of December 31,</w:t>
            </w:r>
          </w:p>
        </w:tc>
        <w:tc>
          <w:tcPr>
            <w:tcW w:w="4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Israel</w:t>
            </w:r>
          </w:p>
        </w:tc>
        <w:tc>
          <w:tcPr>
            <w:tcW w:w="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top w:val="single" w:sz="8" w:color="auto"/>
            </w:tcBorders>
          </w:tcPr>
          <w:p>
            <w:pPr>
              <w:jc w:val="right"/>
              <w:ind w:right="820"/>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Borders>
              <w:top w:val="single" w:sz="8" w:color="auto"/>
            </w:tcBorders>
          </w:tcPr>
          <w:p>
            <w:pPr>
              <w:jc w:val="right"/>
              <w:spacing w:after="0" w:line="211" w:lineRule="exact"/>
              <w:rPr>
                <w:sz w:val="20"/>
                <w:szCs w:val="20"/>
                <w:color w:val="auto"/>
              </w:rPr>
            </w:pPr>
            <w:r>
              <w:rPr>
                <w:rFonts w:ascii="Times New Roman" w:cs="Times New Roman" w:eastAsia="Times New Roman" w:hAnsi="Times New Roman"/>
                <w:sz w:val="20"/>
                <w:szCs w:val="20"/>
                <w:color w:val="auto"/>
              </w:rPr>
              <w:t>885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top w:val="single" w:sz="8" w:color="auto"/>
            </w:tcBorders>
          </w:tcPr>
          <w:p>
            <w:pPr>
              <w:jc w:val="right"/>
              <w:ind w:right="840"/>
              <w:spacing w:after="0" w:line="211" w:lineRule="exact"/>
              <w:rPr>
                <w:sz w:val="20"/>
                <w:szCs w:val="20"/>
                <w:color w:val="auto"/>
              </w:rPr>
            </w:pPr>
            <w:r>
              <w:rPr>
                <w:rFonts w:ascii="Times New Roman" w:cs="Times New Roman" w:eastAsia="Times New Roman" w:hAnsi="Times New Roman"/>
                <w:sz w:val="20"/>
                <w:szCs w:val="20"/>
                <w:color w:val="auto"/>
                <w:w w:val="79"/>
              </w:rPr>
              <w:t>$</w:t>
            </w:r>
          </w:p>
        </w:tc>
        <w:tc>
          <w:tcPr>
            <w:tcW w:w="400" w:type="dxa"/>
            <w:vAlign w:val="bottom"/>
            <w:tcBorders>
              <w:top w:val="single" w:sz="8" w:color="auto"/>
            </w:tcBorders>
          </w:tcPr>
          <w:p>
            <w:pPr>
              <w:jc w:val="right"/>
              <w:spacing w:after="0" w:line="211" w:lineRule="exact"/>
              <w:rPr>
                <w:sz w:val="20"/>
                <w:szCs w:val="20"/>
                <w:color w:val="auto"/>
              </w:rPr>
            </w:pPr>
            <w:r>
              <w:rPr>
                <w:rFonts w:ascii="Times New Roman" w:cs="Times New Roman" w:eastAsia="Times New Roman" w:hAnsi="Times New Roman"/>
                <w:sz w:val="20"/>
                <w:szCs w:val="20"/>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41</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top w:val="single" w:sz="8" w:color="auto"/>
            </w:tcBorders>
          </w:tcPr>
          <w:p>
            <w:pPr>
              <w:jc w:val="right"/>
              <w:ind w:right="82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top w:val="single" w:sz="8" w:color="auto"/>
            </w:tcBorders>
          </w:tcPr>
          <w:p>
            <w:pPr>
              <w:jc w:val="right"/>
              <w:ind w:right="840"/>
              <w:spacing w:after="0"/>
              <w:rPr>
                <w:sz w:val="20"/>
                <w:szCs w:val="20"/>
                <w:color w:val="auto"/>
              </w:rPr>
            </w:pPr>
            <w:r>
              <w:rPr>
                <w:rFonts w:ascii="Times New Roman" w:cs="Times New Roman" w:eastAsia="Times New Roman" w:hAnsi="Times New Roman"/>
                <w:sz w:val="20"/>
                <w:szCs w:val="20"/>
                <w:color w:val="auto"/>
                <w:w w:val="7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 RELATED PARTIES</w:t>
      </w:r>
    </w:p>
    <w:p>
      <w:pPr>
        <w:spacing w:after="0" w:line="124" w:lineRule="exact"/>
        <w:rPr>
          <w:sz w:val="20"/>
          <w:szCs w:val="20"/>
          <w:color w:val="auto"/>
        </w:rPr>
      </w:pPr>
    </w:p>
    <w:p>
      <w:pPr>
        <w:jc w:val="both"/>
        <w:ind w:right="140"/>
        <w:spacing w:after="0" w:line="277" w:lineRule="auto"/>
        <w:rPr>
          <w:sz w:val="20"/>
          <w:szCs w:val="20"/>
          <w:color w:val="auto"/>
        </w:rPr>
      </w:pPr>
      <w:r>
        <w:rPr>
          <w:rFonts w:ascii="Times New Roman" w:cs="Times New Roman" w:eastAsia="Times New Roman" w:hAnsi="Times New Roman"/>
          <w:sz w:val="20"/>
          <w:szCs w:val="20"/>
          <w:color w:val="auto"/>
        </w:rPr>
        <w:t>There were no material related party transactions in each of the years ended December 31, 2025 and 2024 that were outside of the Company’s normal course of business.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 TAXES ON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is subject to U.S. federal tax rate of 21% for the years ended December 31, 2025 and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not been audited by the Internal Revenue Service since its incorporation.</w:t>
      </w:r>
    </w:p>
    <w:p>
      <w:pPr>
        <w:spacing w:after="0" w:line="120" w:lineRule="exact"/>
        <w:rPr>
          <w:sz w:val="20"/>
          <w:szCs w:val="20"/>
          <w:color w:val="auto"/>
        </w:rPr>
      </w:pPr>
    </w:p>
    <w:p>
      <w:pPr>
        <w:jc w:val="both"/>
        <w:ind w:right="140"/>
        <w:spacing w:after="0" w:line="245" w:lineRule="auto"/>
        <w:rPr>
          <w:sz w:val="20"/>
          <w:szCs w:val="20"/>
          <w:color w:val="auto"/>
        </w:rPr>
      </w:pPr>
      <w:r>
        <w:rPr>
          <w:rFonts w:ascii="Times New Roman" w:cs="Times New Roman" w:eastAsia="Times New Roman" w:hAnsi="Times New Roman"/>
          <w:sz w:val="20"/>
          <w:szCs w:val="20"/>
          <w:color w:val="auto"/>
        </w:rPr>
        <w:t>As of December 31, 2025 and 2024, the Company has generated accumulated net operating losses in the U.S. of approximately $517,992 and $511,371, respectively. The Company has available carryforward net operating losses amounting to approximately $108,969 at the U.S. federal level. This consists of pre-2017 net operating losses subject to a 20-year limitation per Section 382, amounting to approximately $83,848, and post-2017 net operating losses which can be carried forward indefinitely, amounting to approximately $ 25,121.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Microbot Israel is subject to Israeli corporate tax rate of 23% for the year ended December 31, 2025 and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Microbot Israel has not received a final tax assessment since 2020.</w:t>
      </w:r>
    </w:p>
    <w:p>
      <w:pPr>
        <w:spacing w:after="0" w:line="90"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0"/>
          <w:szCs w:val="20"/>
          <w:color w:val="auto"/>
        </w:rPr>
        <w:t>As of December 31, 2025 and 2024, Microbot Israel has generated accumulated net operating losses in Israel of approximately $54,074 and $47,553, respectively, which may be carried forward and offset against taxable income in the future for an indefinite period.</w:t>
      </w:r>
    </w:p>
    <w:p>
      <w:pPr>
        <w:spacing w:after="0" w:line="6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0"/>
          <w:szCs w:val="20"/>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63" w:lineRule="exact"/>
        <w:rPr>
          <w:sz w:val="20"/>
          <w:szCs w:val="20"/>
          <w:color w:val="auto"/>
        </w:rPr>
      </w:pPr>
    </w:p>
    <w:tbl>
      <w:tblPr>
        <w:tblLayout w:type="fixed"/>
        <w:tblInd w:w="1080" w:type="dxa"/>
        <w:tblCellMar>
          <w:top w:w="0" w:type="dxa"/>
          <w:left w:w="0" w:type="dxa"/>
          <w:bottom w:w="0" w:type="dxa"/>
          <w:right w:w="0" w:type="dxa"/>
        </w:tblCellMar>
      </w:tblPr>
      <w:tr>
        <w:trPr>
          <w:trHeight w:val="253"/>
        </w:trPr>
        <w:tc>
          <w:tcPr>
            <w:tcW w:w="5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6"/>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As of December 31,</w:t>
            </w:r>
          </w:p>
        </w:tc>
      </w:tr>
      <w:tr>
        <w:trPr>
          <w:trHeight w:val="230"/>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19"/>
                <w:szCs w:val="19"/>
                <w:color w:val="auto"/>
              </w:rPr>
            </w:pPr>
          </w:p>
        </w:tc>
      </w:tr>
      <w:tr>
        <w:trPr>
          <w:trHeight w:val="442"/>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121,215</w:t>
            </w:r>
          </w:p>
        </w:tc>
        <w:tc>
          <w:tcPr>
            <w:tcW w:w="20" w:type="dxa"/>
            <w:vAlign w:val="bottom"/>
          </w:tcPr>
          <w:p>
            <w:pPr>
              <w:spacing w:after="0"/>
              <w:rPr>
                <w:sz w:val="24"/>
                <w:szCs w:val="24"/>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118,309</w:t>
            </w:r>
          </w:p>
        </w:tc>
      </w:tr>
      <w:tr>
        <w:trPr>
          <w:trHeight w:val="23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198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26</w:t>
            </w:r>
          </w:p>
        </w:tc>
      </w:tr>
      <w:tr>
        <w:trPr>
          <w:trHeight w:val="23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Accrued vacation pay</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69</w:t>
            </w:r>
          </w:p>
        </w:tc>
      </w:tr>
      <w:tr>
        <w:trPr>
          <w:trHeight w:val="249"/>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Advance payment from IIA</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1"/>
                <w:szCs w:val="21"/>
                <w:color w:val="auto"/>
              </w:rPr>
            </w:pPr>
          </w:p>
        </w:tc>
      </w:tr>
      <w:tr>
        <w:trPr>
          <w:trHeight w:val="211"/>
        </w:trPr>
        <w:tc>
          <w:tcPr>
            <w:tcW w:w="5220" w:type="dxa"/>
            <w:vAlign w:val="bottom"/>
            <w:gridSpan w:val="2"/>
          </w:tcPr>
          <w:p>
            <w:pPr>
              <w:spacing w:after="0" w:line="211" w:lineRule="exact"/>
              <w:rPr>
                <w:sz w:val="20"/>
                <w:szCs w:val="20"/>
                <w:color w:val="auto"/>
              </w:rPr>
            </w:pPr>
            <w:r>
              <w:rPr>
                <w:rFonts w:ascii="Times New Roman" w:cs="Times New Roman" w:eastAsia="Times New Roman" w:hAnsi="Times New Roman"/>
                <w:sz w:val="20"/>
                <w:szCs w:val="20"/>
                <w:color w:val="auto"/>
              </w:rPr>
              <w:t>Total deferred tax assets</w:t>
            </w:r>
          </w:p>
        </w:tc>
        <w:tc>
          <w:tcPr>
            <w:tcW w:w="300" w:type="dxa"/>
            <w:vAlign w:val="bottom"/>
          </w:tcPr>
          <w:p>
            <w:pPr>
              <w:spacing w:after="0"/>
              <w:rPr>
                <w:sz w:val="18"/>
                <w:szCs w:val="18"/>
                <w:color w:val="auto"/>
              </w:rPr>
            </w:pPr>
          </w:p>
        </w:tc>
        <w:tc>
          <w:tcPr>
            <w:tcW w:w="114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121,536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118,404</w:t>
            </w:r>
          </w:p>
        </w:tc>
        <w:tc>
          <w:tcPr>
            <w:tcW w:w="80" w:type="dxa"/>
            <w:vAlign w:val="bottom"/>
          </w:tcPr>
          <w:p>
            <w:pPr>
              <w:spacing w:after="0"/>
              <w:rPr>
                <w:sz w:val="18"/>
                <w:szCs w:val="18"/>
                <w:color w:val="auto"/>
              </w:rPr>
            </w:pPr>
          </w:p>
        </w:tc>
      </w:tr>
      <w:tr>
        <w:trPr>
          <w:trHeight w:val="249"/>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valuation allowance</w:t>
            </w:r>
          </w:p>
        </w:tc>
        <w:tc>
          <w:tcPr>
            <w:tcW w:w="3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(121,345)</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(118,374)</w:t>
            </w:r>
          </w:p>
        </w:tc>
      </w:tr>
      <w:tr>
        <w:trPr>
          <w:trHeight w:val="230"/>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Pr>
          <w:p>
            <w:pPr>
              <w:spacing w:after="0"/>
              <w:rPr>
                <w:sz w:val="19"/>
                <w:szCs w:val="19"/>
                <w:color w:val="auto"/>
              </w:rPr>
            </w:pPr>
          </w:p>
        </w:tc>
      </w:tr>
      <w:tr>
        <w:trPr>
          <w:trHeight w:val="442"/>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leases, right-of-use assets</w:t>
            </w:r>
          </w:p>
        </w:tc>
        <w:tc>
          <w:tcPr>
            <w:tcW w:w="300" w:type="dxa"/>
            <w:vAlign w:val="bottom"/>
          </w:tcPr>
          <w:p>
            <w:pPr>
              <w:spacing w:after="0"/>
              <w:rPr>
                <w:sz w:val="24"/>
                <w:szCs w:val="2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(191)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49"/>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30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(191)</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37"/>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net deferred tax assets</w:t>
            </w:r>
          </w:p>
        </w:tc>
        <w:tc>
          <w:tcPr>
            <w:tcW w:w="30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500"/>
          </w:cols>
          <w:pgMar w:left="1440" w:top="1440" w:right="1300" w:bottom="4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500"/>
          </w:cols>
          <w:pgMar w:left="1440" w:top="1440" w:right="1300" w:bottom="462"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color w:val="auto"/>
        </w:rPr>
        <w:t>Reconciliation of Income Taxes:</w:t>
      </w:r>
    </w:p>
    <w:p>
      <w:pPr>
        <w:spacing w:after="0" w:line="124"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20"/>
          <w:szCs w:val="20"/>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20"/>
                <w:szCs w:val="20"/>
                <w:b w:val="1"/>
                <w:bCs w:val="1"/>
                <w:color w:val="auto"/>
              </w:rPr>
              <w:t>Year ended December 31, 2025</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5760" w:type="dxa"/>
            <w:vAlign w:val="bottom"/>
            <w:vMerge w:val="restart"/>
          </w:tcPr>
          <w:p>
            <w:pPr>
              <w:ind w:left="600"/>
              <w:spacing w:after="0"/>
              <w:rPr>
                <w:sz w:val="20"/>
                <w:szCs w:val="20"/>
                <w:color w:val="auto"/>
              </w:rPr>
            </w:pPr>
            <w:r>
              <w:rPr>
                <w:rFonts w:ascii="Times New Roman" w:cs="Times New Roman" w:eastAsia="Times New Roman" w:hAnsi="Times New Roman"/>
                <w:sz w:val="20"/>
                <w:szCs w:val="20"/>
                <w:color w:val="auto"/>
              </w:rPr>
              <w:t>U.S. federal tax rate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Tax</w:t>
            </w:r>
          </w:p>
        </w:tc>
        <w:tc>
          <w:tcPr>
            <w:tcW w:w="1660" w:type="dxa"/>
            <w:vAlign w:val="bottom"/>
            <w:gridSpan w:val="6"/>
          </w:tcPr>
          <w:p>
            <w:pPr>
              <w:ind w:left="20"/>
              <w:spacing w:after="0"/>
              <w:rPr>
                <w:sz w:val="20"/>
                <w:szCs w:val="20"/>
                <w:color w:val="auto"/>
              </w:rPr>
            </w:pPr>
            <w:r>
              <w:rPr>
                <w:rFonts w:ascii="Times New Roman" w:cs="Times New Roman" w:eastAsia="Times New Roman" w:hAnsi="Times New Roman"/>
                <w:sz w:val="20"/>
                <w:szCs w:val="20"/>
                <w:b w:val="1"/>
                <w:bCs w:val="1"/>
                <w:color w:val="auto"/>
              </w:rPr>
              <w:t>Rate</w:t>
            </w:r>
          </w:p>
        </w:tc>
        <w:tc>
          <w:tcPr>
            <w:tcW w:w="0" w:type="dxa"/>
            <w:vAlign w:val="bottom"/>
          </w:tcPr>
          <w:p>
            <w:pPr>
              <w:spacing w:after="0"/>
              <w:rPr>
                <w:sz w:val="1"/>
                <w:szCs w:val="1"/>
                <w:color w:val="auto"/>
              </w:rPr>
            </w:pPr>
          </w:p>
        </w:tc>
      </w:tr>
      <w:tr>
        <w:trPr>
          <w:trHeight w:val="265"/>
        </w:trPr>
        <w:tc>
          <w:tcPr>
            <w:tcW w:w="480" w:type="dxa"/>
            <w:vAlign w:val="bottom"/>
          </w:tcPr>
          <w:p>
            <w:pPr>
              <w:spacing w:after="0"/>
              <w:rPr>
                <w:sz w:val="23"/>
                <w:szCs w:val="23"/>
                <w:color w:val="auto"/>
              </w:rPr>
            </w:pPr>
          </w:p>
        </w:tc>
        <w:tc>
          <w:tcPr>
            <w:tcW w:w="576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(2,760)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7"/>
        </w:trPr>
        <w:tc>
          <w:tcPr>
            <w:tcW w:w="480" w:type="dxa"/>
            <w:vAlign w:val="bottom"/>
          </w:tcPr>
          <w:p>
            <w:pPr>
              <w:spacing w:after="0"/>
              <w:rPr>
                <w:sz w:val="24"/>
                <w:szCs w:val="24"/>
                <w:color w:val="auto"/>
              </w:rPr>
            </w:pPr>
          </w:p>
        </w:tc>
        <w:tc>
          <w:tcPr>
            <w:tcW w:w="57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Statutory tax rate difference between U.S. and Israel</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(130)</w:t>
            </w:r>
          </w:p>
        </w:tc>
        <w:tc>
          <w:tcPr>
            <w:tcW w:w="164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80" w:type="dxa"/>
            <w:vAlign w:val="bottom"/>
          </w:tcPr>
          <w:p>
            <w:pPr>
              <w:spacing w:after="0"/>
              <w:rPr>
                <w:sz w:val="23"/>
                <w:szCs w:val="23"/>
                <w:color w:val="auto"/>
              </w:rPr>
            </w:pPr>
          </w:p>
        </w:tc>
        <w:tc>
          <w:tcPr>
            <w:tcW w:w="57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Changes in valuation allowances</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2,971</w:t>
            </w:r>
          </w:p>
        </w:tc>
        <w:tc>
          <w:tcPr>
            <w:tcW w:w="120" w:type="dxa"/>
            <w:vAlign w:val="bottom"/>
          </w:tcPr>
          <w:p>
            <w:pPr>
              <w:spacing w:after="0"/>
              <w:rPr>
                <w:sz w:val="23"/>
                <w:szCs w:val="23"/>
                <w:color w:val="auto"/>
              </w:rPr>
            </w:pPr>
          </w:p>
        </w:tc>
        <w:tc>
          <w:tcPr>
            <w:tcW w:w="16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4"/>
        </w:trPr>
        <w:tc>
          <w:tcPr>
            <w:tcW w:w="480" w:type="dxa"/>
            <w:vAlign w:val="bottom"/>
          </w:tcPr>
          <w:p>
            <w:pPr>
              <w:spacing w:after="0"/>
              <w:rPr>
                <w:sz w:val="24"/>
                <w:szCs w:val="24"/>
                <w:color w:val="auto"/>
              </w:rPr>
            </w:pPr>
          </w:p>
        </w:tc>
        <w:tc>
          <w:tcPr>
            <w:tcW w:w="57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Share-based compensation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227</w:t>
            </w:r>
          </w:p>
        </w:tc>
        <w:tc>
          <w:tcPr>
            <w:tcW w:w="120" w:type="dxa"/>
            <w:vAlign w:val="bottom"/>
          </w:tcPr>
          <w:p>
            <w:pPr>
              <w:spacing w:after="0"/>
              <w:rPr>
                <w:sz w:val="24"/>
                <w:szCs w:val="24"/>
                <w:color w:val="auto"/>
              </w:rPr>
            </w:pPr>
          </w:p>
        </w:tc>
        <w:tc>
          <w:tcPr>
            <w:tcW w:w="16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80" w:type="dxa"/>
            <w:vAlign w:val="bottom"/>
          </w:tcPr>
          <w:p>
            <w:pPr>
              <w:spacing w:after="0"/>
              <w:rPr>
                <w:sz w:val="21"/>
                <w:szCs w:val="21"/>
                <w:color w:val="auto"/>
              </w:rPr>
            </w:pPr>
          </w:p>
        </w:tc>
        <w:tc>
          <w:tcPr>
            <w:tcW w:w="576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Other adjustments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120" w:type="dxa"/>
            <w:vAlign w:val="bottom"/>
          </w:tcPr>
          <w:p>
            <w:pPr>
              <w:spacing w:after="0"/>
              <w:rPr>
                <w:sz w:val="21"/>
                <w:szCs w:val="21"/>
                <w:color w:val="auto"/>
              </w:rPr>
            </w:pPr>
          </w:p>
        </w:tc>
        <w:tc>
          <w:tcPr>
            <w:tcW w:w="164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760" w:type="dxa"/>
            <w:vAlign w:val="bottom"/>
            <w:vMerge w:val="restart"/>
          </w:tcPr>
          <w:p>
            <w:pPr>
              <w:ind w:left="600"/>
              <w:spacing w:after="0"/>
              <w:rPr>
                <w:sz w:val="20"/>
                <w:szCs w:val="20"/>
                <w:color w:val="auto"/>
              </w:rPr>
            </w:pPr>
            <w:r>
              <w:rPr>
                <w:rFonts w:ascii="Times New Roman" w:cs="Times New Roman" w:eastAsia="Times New Roman" w:hAnsi="Times New Roman"/>
                <w:sz w:val="20"/>
                <w:szCs w:val="20"/>
                <w:color w:val="auto"/>
              </w:rPr>
              <w:t>Effective tax rate</w:t>
            </w:r>
          </w:p>
        </w:tc>
        <w:tc>
          <w:tcPr>
            <w:tcW w:w="20" w:type="dxa"/>
            <w:vAlign w:val="bottom"/>
          </w:tcPr>
          <w:p>
            <w:pPr>
              <w:spacing w:after="0" w:line="20" w:lineRule="exact"/>
              <w:rPr>
                <w:sz w:val="1"/>
                <w:szCs w:val="1"/>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0" w:type="dxa"/>
            <w:vAlign w:val="bottom"/>
          </w:tcPr>
          <w:p>
            <w:pPr>
              <w:spacing w:after="0"/>
              <w:rPr>
                <w:sz w:val="18"/>
                <w:szCs w:val="18"/>
                <w:color w:val="auto"/>
              </w:rPr>
            </w:pPr>
          </w:p>
        </w:tc>
        <w:tc>
          <w:tcPr>
            <w:tcW w:w="5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540" w:type="dxa"/>
            <w:vAlign w:val="bottom"/>
            <w:gridSpan w:val="2"/>
          </w:tcPr>
          <w:p>
            <w:pPr>
              <w:jc w:val="right"/>
              <w:ind w:right="60"/>
              <w:spacing w:after="0" w:line="212" w:lineRule="exact"/>
              <w:rPr>
                <w:sz w:val="20"/>
                <w:szCs w:val="20"/>
                <w:color w:val="auto"/>
              </w:rPr>
            </w:pPr>
            <w:r>
              <w:rPr>
                <w:rFonts w:ascii="Times New Roman" w:cs="Times New Roman" w:eastAsia="Times New Roman" w:hAnsi="Times New Roman"/>
                <w:sz w:val="20"/>
                <w:szCs w:val="20"/>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NOTE 18 – SUBSEQUENT EVENTS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6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w:t>
            </w:r>
          </w:p>
        </w:tc>
        <w:tc>
          <w:tcPr>
            <w:tcW w:w="576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Stock option grants and other compensation: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20"/>
          <w:szCs w:val="20"/>
          <w:color w:val="auto"/>
        </w:rPr>
        <w:t>In February 2026, the Company authorized and approved the CEO a total bonus amounting to approximately $556, out of which an approximate amount of $417 is related to fiscal year 2025 and $139 is a special bonus. The company also approved salary increase to the CEO.</w:t>
      </w:r>
    </w:p>
    <w:p>
      <w:pPr>
        <w:spacing w:after="0" w:line="175" w:lineRule="exact"/>
        <w:rPr>
          <w:sz w:val="20"/>
          <w:szCs w:val="20"/>
          <w:color w:val="auto"/>
        </w:rPr>
      </w:pPr>
    </w:p>
    <w:p>
      <w:pPr>
        <w:jc w:val="both"/>
        <w:ind w:right="140"/>
        <w:spacing w:after="0" w:line="304" w:lineRule="auto"/>
        <w:rPr>
          <w:sz w:val="20"/>
          <w:szCs w:val="20"/>
          <w:color w:val="auto"/>
        </w:rPr>
      </w:pPr>
      <w:r>
        <w:rPr>
          <w:rFonts w:ascii="Times New Roman" w:cs="Times New Roman" w:eastAsia="Times New Roman" w:hAnsi="Times New Roman"/>
          <w:sz w:val="19"/>
          <w:szCs w:val="19"/>
          <w:color w:val="auto"/>
        </w:rPr>
        <w:t>In February 2026, the Company authorized and approved bonuses to executives and certain employees in the amount of approximately $434, related to fiscal year 2025, and approved salary increases to executives and certain employees.</w:t>
      </w:r>
    </w:p>
    <w:p>
      <w:pPr>
        <w:spacing w:after="0" w:line="138" w:lineRule="exact"/>
        <w:rPr>
          <w:sz w:val="20"/>
          <w:szCs w:val="20"/>
          <w:color w:val="auto"/>
        </w:rPr>
      </w:pPr>
    </w:p>
    <w:p>
      <w:pPr>
        <w:jc w:val="both"/>
        <w:ind w:right="140"/>
        <w:spacing w:after="0" w:line="277" w:lineRule="auto"/>
        <w:rPr>
          <w:sz w:val="20"/>
          <w:szCs w:val="20"/>
          <w:color w:val="auto"/>
        </w:rPr>
      </w:pPr>
      <w:r>
        <w:rPr>
          <w:rFonts w:ascii="Times New Roman" w:cs="Times New Roman" w:eastAsia="Times New Roman" w:hAnsi="Times New Roman"/>
          <w:sz w:val="20"/>
          <w:szCs w:val="20"/>
          <w:color w:val="auto"/>
        </w:rPr>
        <w:t>Furthermore, in February and March 2026, the Company granted the CEO and executives 480,000 and 315,000 options, respectively. Additionally, the Company approved to grant 292,500 options to certain employees.</w:t>
      </w:r>
    </w:p>
    <w:p>
      <w:pPr>
        <w:spacing w:after="0" w:line="190" w:lineRule="exact"/>
        <w:rPr>
          <w:sz w:val="20"/>
          <w:szCs w:val="20"/>
          <w:color w:val="auto"/>
        </w:rPr>
      </w:pPr>
    </w:p>
    <w:p>
      <w:pPr>
        <w:ind w:left="720" w:hanging="660"/>
        <w:spacing w:after="0"/>
        <w:tabs>
          <w:tab w:leader="none" w:pos="72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Bank guarantee:</w:t>
      </w:r>
    </w:p>
    <w:p>
      <w:pPr>
        <w:spacing w:after="0" w:line="244" w:lineRule="exact"/>
        <w:rPr>
          <w:sz w:val="20"/>
          <w:szCs w:val="20"/>
          <w:color w:val="auto"/>
        </w:rPr>
      </w:pPr>
    </w:p>
    <w:p>
      <w:pPr>
        <w:jc w:val="both"/>
        <w:ind w:right="140"/>
        <w:spacing w:after="0" w:line="252" w:lineRule="auto"/>
        <w:rPr>
          <w:sz w:val="20"/>
          <w:szCs w:val="20"/>
          <w:color w:val="auto"/>
        </w:rPr>
      </w:pPr>
      <w:r>
        <w:rPr>
          <w:rFonts w:ascii="Times New Roman" w:cs="Times New Roman" w:eastAsia="Times New Roman" w:hAnsi="Times New Roman"/>
          <w:sz w:val="20"/>
          <w:szCs w:val="20"/>
          <w:color w:val="auto"/>
        </w:rPr>
        <w:t>In February 2026, the Company provided an unconditional bank guarantee on amount of $800. The guarantee was provided to secure the Company’s obligations in respect of purchases made by the subcontractor that manufactures inventory for the Company. The guarantee will be exercised only in the event that the Company fails to settle its payment obligations to the subcontractor for such purchases.</w:t>
      </w:r>
    </w:p>
    <w:p>
      <w:pPr>
        <w:sectPr>
          <w:pgSz w:w="12240" w:h="15840" w:orient="portrait"/>
          <w:cols w:equalWidth="0" w:num="1">
            <w:col w:w="9500"/>
          </w:cols>
          <w:pgMar w:left="1440" w:top="1417" w:right="1300" w:bottom="4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F-28</w:t>
      </w:r>
    </w:p>
    <w:sectPr>
      <w:pgSz w:w="12240" w:h="15840" w:orient="portrait"/>
      <w:cols w:equalWidth="0" w:num="1">
        <w:col w:w="9500"/>
      </w:cols>
      <w:pgMar w:left="1440" w:top="1417" w:right="1300" w:bottom="4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PMingLiU">
    <w:panose1 w:val="02020500000000000000"/>
    <w:charset w:val="00"/>
    <w:family w:val="roman"/>
    <w:pitch w:val="variable"/>
    <w:sig w:usb0="A00002FF" w:usb1="28CFFCFA" w:usb2="00000016" w:usb3="00000000" w:csb0="00100001" w:csb1="0000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ց"/>
      <w:numFmt w:val="bullet"/>
      <w:start w:val="1"/>
    </w:lvl>
  </w:abstractNum>
  <w:abstractNum w:abstractNumId="1">
    <w:nsid w:val="79838CB2"/>
    <w:multiLevelType w:val="hybridMultilevel"/>
    <w:lvl w:ilvl="0">
      <w:lvlJc w:val="left"/>
      <w:lvlText w:val="տ"/>
      <w:numFmt w:val="bullet"/>
      <w:start w:val="1"/>
    </w:lvl>
  </w:abstractNum>
  <w:abstractNum w:abstractNumId="2">
    <w:nsid w:val="4353D0CD"/>
    <w:multiLevelType w:val="hybridMultilevel"/>
    <w:lvl w:ilvl="0">
      <w:lvlJc w:val="left"/>
      <w:lvlText w:val=" "/>
      <w:numFmt w:val="bullet"/>
      <w:start w:val="1"/>
    </w:lvl>
  </w:abstractNum>
  <w:abstractNum w:abstractNumId="3">
    <w:nsid w:val="B03E0C6"/>
    <w:multiLevelType w:val="hybridMultilevel"/>
    <w:lvl w:ilvl="0">
      <w:lvlJc w:val="left"/>
      <w:lvlText w:val=" "/>
      <w:numFmt w:val="bullet"/>
      <w:start w:val="1"/>
    </w:lvl>
  </w:abstractNum>
  <w:abstractNum w:abstractNumId="4">
    <w:nsid w:val="189A769B"/>
    <w:multiLevelType w:val="hybridMultilevel"/>
    <w:lvl w:ilvl="0">
      <w:lvlJc w:val="left"/>
      <w:lvlText w:val=" "/>
      <w:numFmt w:val="bullet"/>
      <w:start w:val="1"/>
    </w:lvl>
  </w:abstractNum>
  <w:abstractNum w:abstractNumId="5">
    <w:nsid w:val="54E49EB4"/>
    <w:multiLevelType w:val="hybridMultilevel"/>
    <w:lvl w:ilvl="0">
      <w:lvlJc w:val="left"/>
      <w:lvlText w:val=" "/>
      <w:numFmt w:val="bullet"/>
      <w:start w:val="1"/>
    </w:lvl>
  </w:abstractNum>
  <w:abstractNum w:abstractNumId="6">
    <w:nsid w:val="71F32454"/>
    <w:multiLevelType w:val="hybridMultilevel"/>
    <w:lvl w:ilvl="0">
      <w:lvlJc w:val="left"/>
      <w:lvlText w:val=" "/>
      <w:numFmt w:val="bullet"/>
      <w:start w:val="1"/>
    </w:lvl>
  </w:abstractNum>
  <w:abstractNum w:abstractNumId="7">
    <w:nsid w:val="2CA88611"/>
    <w:multiLevelType w:val="hybridMultilevel"/>
    <w:lvl w:ilvl="0">
      <w:lvlJc w:val="left"/>
      <w:lvlText w:val=" "/>
      <w:numFmt w:val="bullet"/>
      <w:start w:val="1"/>
    </w:lvl>
  </w:abstractNum>
  <w:abstractNum w:abstractNumId="8">
    <w:nsid w:val="836C40E"/>
    <w:multiLevelType w:val="hybridMultilevel"/>
    <w:lvl w:ilvl="0">
      <w:lvlJc w:val="left"/>
      <w:lvlText w:val=" "/>
      <w:numFmt w:val="bullet"/>
      <w:start w:val="1"/>
    </w:lvl>
  </w:abstractNum>
  <w:abstractNum w:abstractNumId="9">
    <w:nsid w:val="2901D82"/>
    <w:multiLevelType w:val="hybridMultilevel"/>
    <w:lvl w:ilvl="0">
      <w:lvlJc w:val="left"/>
      <w:lvlText w:val=" "/>
      <w:numFmt w:val="bullet"/>
      <w:start w:val="1"/>
    </w:lvl>
  </w:abstractNum>
  <w:abstractNum w:abstractNumId="10">
    <w:nsid w:val="3A95F874"/>
    <w:multiLevelType w:val="hybridMultilevel"/>
    <w:lvl w:ilvl="0">
      <w:lvlJc w:val="left"/>
      <w:lvlText w:val=" "/>
      <w:numFmt w:val="bullet"/>
      <w:start w:val="1"/>
    </w:lvl>
  </w:abstractNum>
  <w:abstractNum w:abstractNumId="11">
    <w:nsid w:val="8138641"/>
    <w:multiLevelType w:val="hybridMultilevel"/>
    <w:lvl w:ilvl="0">
      <w:lvlJc w:val="left"/>
      <w:lvlText w:val=" "/>
      <w:numFmt w:val="bullet"/>
      <w:start w:val="1"/>
    </w:lvl>
  </w:abstractNum>
  <w:abstractNum w:abstractNumId="12">
    <w:nsid w:val="1E7FF521"/>
    <w:multiLevelType w:val="hybridMultilevel"/>
    <w:lvl w:ilvl="0">
      <w:lvlJc w:val="left"/>
      <w:lvlText w:val=" "/>
      <w:numFmt w:val="bullet"/>
      <w:start w:val="1"/>
    </w:lvl>
  </w:abstractNum>
  <w:abstractNum w:abstractNumId="13">
    <w:nsid w:val="7C3DBD3D"/>
    <w:multiLevelType w:val="hybridMultilevel"/>
    <w:lvl w:ilvl="0">
      <w:lvlJc w:val="left"/>
      <w:lvlText w:val=" "/>
      <w:numFmt w:val="bullet"/>
      <w:start w:val="1"/>
    </w:lvl>
  </w:abstractNum>
  <w:abstractNum w:abstractNumId="14">
    <w:nsid w:val="737B8DDC"/>
    <w:multiLevelType w:val="hybridMultilevel"/>
    <w:lvl w:ilvl="0">
      <w:lvlJc w:val="left"/>
      <w:lvlText w:val=" "/>
      <w:numFmt w:val="bullet"/>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7"/>
    </w:lvl>
  </w:abstractNum>
  <w:abstractNum w:abstractNumId="17">
    <w:nsid w:val="4516DDE9"/>
    <w:multiLevelType w:val="hybridMultilevel"/>
    <w:lvl w:ilvl="0">
      <w:lvlJc w:val="left"/>
      <w:lvlText w:val=" "/>
      <w:numFmt w:val="bullet"/>
      <w:start w:val="1"/>
    </w:lvl>
  </w:abstractNum>
  <w:abstractNum w:abstractNumId="18">
    <w:nsid w:val="3006C83E"/>
    <w:multiLevelType w:val="hybridMultilevel"/>
    <w:lvl w:ilvl="0">
      <w:lvlJc w:val="left"/>
      <w:lvlText w:val=" "/>
      <w:numFmt w:val="bullet"/>
      <w:start w:val="1"/>
    </w:lvl>
  </w:abstractNum>
  <w:abstractNum w:abstractNumId="19">
    <w:nsid w:val="614FD4A1"/>
    <w:multiLevelType w:val="hybridMultilevel"/>
    <w:lvl w:ilvl="0">
      <w:lvlJc w:val="left"/>
      <w:lvlText w:val="Ɣ"/>
      <w:numFmt w:val="bullet"/>
      <w:start w:val="1"/>
    </w:lvl>
  </w:abstractNum>
  <w:abstractNum w:abstractNumId="20">
    <w:nsid w:val="419AC241"/>
    <w:multiLevelType w:val="hybridMultilevel"/>
    <w:lvl w:ilvl="0">
      <w:lvlJc w:val="left"/>
      <w:lvlText w:val="Ɣ"/>
      <w:numFmt w:val="bullet"/>
      <w:start w:val="1"/>
    </w:lvl>
  </w:abstractNum>
  <w:abstractNum w:abstractNumId="21">
    <w:nsid w:val="5577F8E1"/>
    <w:multiLevelType w:val="hybridMultilevel"/>
    <w:lvl w:ilvl="0">
      <w:lvlJc w:val="left"/>
      <w:lvlText w:val="Ɣ"/>
      <w:numFmt w:val="bullet"/>
      <w:start w:val="1"/>
    </w:lvl>
  </w:abstractNum>
  <w:abstractNum w:abstractNumId="22">
    <w:nsid w:val="440BADFC"/>
    <w:multiLevelType w:val="hybridMultilevel"/>
    <w:lvl w:ilvl="0">
      <w:lvlJc w:val="left"/>
      <w:lvlText w:val="Ɣ"/>
      <w:numFmt w:val="bullet"/>
      <w:start w:val="1"/>
    </w:lvl>
  </w:abstractNum>
  <w:abstractNum w:abstractNumId="23">
    <w:nsid w:val="5072367"/>
    <w:multiLevelType w:val="hybridMultilevel"/>
    <w:lvl w:ilvl="0">
      <w:lvlJc w:val="left"/>
      <w:lvlText w:val="Ɣ"/>
      <w:numFmt w:val="bullet"/>
      <w:start w:val="1"/>
    </w:lvl>
  </w:abstractNum>
  <w:abstractNum w:abstractNumId="24">
    <w:nsid w:val="3804823E"/>
    <w:multiLevelType w:val="hybridMultilevel"/>
    <w:lvl w:ilvl="0">
      <w:lvlJc w:val="left"/>
      <w:lvlText w:val="Ɣ"/>
      <w:numFmt w:val="bullet"/>
      <w:start w:val="1"/>
    </w:lvl>
  </w:abstractNum>
  <w:abstractNum w:abstractNumId="25">
    <w:nsid w:val="77465F01"/>
    <w:multiLevelType w:val="hybridMultilevel"/>
    <w:lvl w:ilvl="0">
      <w:lvlJc w:val="left"/>
      <w:lvlText w:val="Ɣ"/>
      <w:numFmt w:val="bullet"/>
      <w:start w:val="1"/>
    </w:lvl>
  </w:abstractNum>
  <w:abstractNum w:abstractNumId="26">
    <w:nsid w:val="7724C67E"/>
    <w:multiLevelType w:val="hybridMultilevel"/>
    <w:lvl w:ilvl="0">
      <w:lvlJc w:val="left"/>
      <w:lvlText w:val="Ɣ"/>
      <w:numFmt w:val="bullet"/>
      <w:start w:val="1"/>
    </w:lvl>
  </w:abstractNum>
  <w:abstractNum w:abstractNumId="27">
    <w:nsid w:val="5C482A97"/>
    <w:multiLevelType w:val="hybridMultilevel"/>
    <w:lvl w:ilvl="0">
      <w:lvlJc w:val="left"/>
      <w:lvlText w:val=" "/>
      <w:numFmt w:val="bullet"/>
      <w:start w:val="1"/>
    </w:lvl>
  </w:abstractNum>
  <w:abstractNum w:abstractNumId="28">
    <w:nsid w:val="2463B9EA"/>
    <w:multiLevelType w:val="hybridMultilevel"/>
    <w:lvl w:ilvl="0">
      <w:lvlJc w:val="left"/>
      <w:lvlText w:val="Ɣ"/>
      <w:numFmt w:val="bullet"/>
      <w:start w:val="1"/>
    </w:lvl>
  </w:abstractNum>
  <w:abstractNum w:abstractNumId="29">
    <w:nsid w:val="5E884ADC"/>
    <w:multiLevelType w:val="hybridMultilevel"/>
    <w:lvl w:ilvl="0">
      <w:lvlJc w:val="left"/>
      <w:lvlText w:val="Ɣ"/>
      <w:numFmt w:val="bullet"/>
      <w:start w:val="1"/>
    </w:lvl>
  </w:abstractNum>
  <w:abstractNum w:abstractNumId="30">
    <w:nsid w:val="51EAD36B"/>
    <w:multiLevelType w:val="hybridMultilevel"/>
    <w:lvl w:ilvl="0">
      <w:lvlJc w:val="left"/>
      <w:lvlText w:val=" "/>
      <w:numFmt w:val="bullet"/>
      <w:start w:val="1"/>
    </w:lvl>
  </w:abstractNum>
  <w:abstractNum w:abstractNumId="31">
    <w:nsid w:val="2D517796"/>
    <w:multiLevelType w:val="hybridMultilevel"/>
    <w:lvl w:ilvl="0">
      <w:lvlJc w:val="left"/>
      <w:lvlText w:val=" "/>
      <w:numFmt w:val="bullet"/>
      <w:start w:val="1"/>
    </w:lvl>
  </w:abstractNum>
  <w:abstractNum w:abstractNumId="32">
    <w:nsid w:val="580BD78F"/>
    <w:multiLevelType w:val="hybridMultilevel"/>
    <w:lvl w:ilvl="0">
      <w:lvlJc w:val="left"/>
      <w:lvlText w:val=" "/>
      <w:numFmt w:val="bullet"/>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Ɣ"/>
      <w:numFmt w:val="bullet"/>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lowerRoman"/>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
      <w:numFmt w:val="bullet"/>
      <w:start w:val="1"/>
    </w:lvl>
    <w:lvl w:ilvl="1">
      <w:lvlJc w:val="left"/>
      <w:lvlText w:val="%2"/>
      <w:numFmt w:val="decimal"/>
      <w:start w:val="104"/>
    </w:lvl>
  </w:abstractNum>
  <w:abstractNum w:abstractNumId="43">
    <w:nsid w:val="4B588F54"/>
    <w:multiLevelType w:val="hybridMultilevel"/>
    <w:lvl w:ilvl="0">
      <w:lvlJc w:val="left"/>
      <w:lvlText w:val="**"/>
      <w:numFmt w:val="bullet"/>
      <w:start w:val="1"/>
    </w:lvl>
    <w:lvl w:ilvl="1">
      <w:lvlJc w:val="left"/>
      <w:lvlText w:val="%2"/>
      <w:numFmt w:val="decimal"/>
      <w:start w:val="1"/>
    </w:lvl>
  </w:abstractNum>
  <w:abstractNum w:abstractNumId="44">
    <w:nsid w:val="542289EC"/>
    <w:multiLevelType w:val="hybridMultilevel"/>
    <w:lvl w:ilvl="0">
      <w:lvlJc w:val="left"/>
      <w:lvlText w:val="Ɣ"/>
      <w:numFmt w:val="bullet"/>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4%4"/>
      <w:numFmt w:val="bullet"/>
      <w:start w:val="1"/>
    </w:lvl>
    <w:lvl w:ilvl="1">
      <w:lvlJc w:val="left"/>
      <w:lvlText w:val=" "/>
      <w:numFmt w:val="bullet"/>
      <w:start w:val="1"/>
    </w:lvl>
  </w:abstractNum>
  <w:abstractNum w:abstractNumId="47">
    <w:nsid w:val="7644A45C"/>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2026-11-03T07:42:57Z</dcterms:created>
  <dcterms:modified xsi:type="dcterms:W3CDTF">2026-11-03T07:42:57Z</dcterms:modified>
</cp:coreProperties>
</file>