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left"/>
              <w:rPr>
                <w:caps w:val="false"/>
                <w:smallCaps w:val="false"/>
              </w:rPr>
            </w:pPr>
            <w:bookmarkStart w:id="3" w:name="xdx_905_edei--DocumentQuarterlyReport_c2"/>
            <w:bookmarkEnd w:id="3"/>
            <w:r>
              <w:rPr>
                <w:caps w:val="false"/>
                <w:smallCaps w:val="false"/>
              </w:rPr>
              <w:t>☒</w:t>
            </w:r>
          </w:p>
        </w:tc>
        <w:tc>
          <w:tcPr>
            <w:tcW w:w="9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 xml:space="preserve">June 30, </w:t>
      </w:r>
      <w:bookmarkStart w:id="5" w:name="xdx_909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C_edei--DocumentTransitionReport_c"/>
            <w:bookmarkEnd w:id="6"/>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i w:val="false"/>
          <w:caps w:val="false"/>
          <w:smallCaps w:val="false"/>
          <w:sz w:val="20"/>
        </w:rPr>
        <w:t>000-19871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5_edei--EntityRegistrantName_c2026"/>
      <w:bookmarkEnd w:id="8"/>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Registrant in Its Charter)</w:t>
      </w:r>
    </w:p>
    <w:p>
      <w:pPr>
        <w:pStyle w:val="TextBody"/>
        <w:bidi w:val="0"/>
        <w:spacing w:before="0" w:after="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630"/>
        <w:gridCol w:w="60"/>
        <w:gridCol w:w="156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TaxIdentificationNum"/>
            <w:bookmarkEnd w:id="10"/>
            <w:r>
              <w:rPr>
                <w:rFonts w:ascii="Times New Roman;Times;Serif" w:hAnsi="Times New Roman;Times;Serif"/>
                <w:b/>
                <w:i w:val="false"/>
                <w:caps w:val="false"/>
                <w:smallCaps w:val="false"/>
                <w:sz w:val="20"/>
              </w:rPr>
              <w:t>94-3078125</w:t>
            </w:r>
          </w:p>
        </w:tc>
      </w:tr>
      <w:tr>
        <w:trPr/>
        <w:tc>
          <w:tcPr>
            <w:tcW w:w="2630"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or Other Jurisdiction of</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(I.R.S. Employer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 xml:space="preserve">175 Derby St., </w:t>
      </w:r>
      <w:bookmarkStart w:id="12" w:name="xdx_903_edei--EntityAddressAddressLine2_"/>
      <w:bookmarkEnd w:id="12"/>
      <w:r>
        <w:rPr>
          <w:rFonts w:ascii="Times New Roman;Times;Serif" w:hAnsi="Times New Roman;Times;Serif"/>
          <w:b/>
          <w:i w:val="false"/>
          <w:caps w:val="false"/>
          <w:smallCaps w:val="false"/>
          <w:sz w:val="20"/>
        </w:rPr>
        <w:t>Bld. 27</w:t>
      </w:r>
    </w:p>
    <w:p>
      <w:pPr>
        <w:pStyle w:val="TextBody"/>
        <w:bidi w:val="0"/>
        <w:spacing w:before="0" w:after="0"/>
        <w:jc w:val="center"/>
        <w:rPr>
          <w:rFonts w:ascii="Times New Roman;Times;Serif" w:hAnsi="Times New Roman;Times;Serif"/>
          <w:b/>
          <w:i w:val="false"/>
          <w:caps w:val="false"/>
          <w:smallCaps w:val="false"/>
          <w:sz w:val="20"/>
        </w:rPr>
      </w:pPr>
      <w:bookmarkStart w:id="13" w:name="xdx_901_edei--EntityAddressCityOrTown_c2"/>
      <w:bookmarkEnd w:id="13"/>
      <w:r>
        <w:rPr>
          <w:rFonts w:ascii="Times New Roman;Times;Serif" w:hAnsi="Times New Roman;Times;Serif"/>
          <w:b/>
          <w:i w:val="false"/>
          <w:caps w:val="false"/>
          <w:smallCaps w:val="false"/>
          <w:sz w:val="20"/>
        </w:rPr>
        <w:t xml:space="preserve">Hingham, </w:t>
      </w:r>
      <w:bookmarkStart w:id="14" w:name="xdx_901_edei--EntityAddressStateOrProvin"/>
      <w:bookmarkEnd w:id="14"/>
      <w:r>
        <w:rPr>
          <w:rFonts w:ascii="Times New Roman;Times;Serif" w:hAnsi="Times New Roman;Times;Serif"/>
          <w:b/>
          <w:i w:val="false"/>
          <w:caps w:val="false"/>
          <w:smallCaps w:val="false"/>
          <w:sz w:val="20"/>
        </w:rPr>
        <w:t xml:space="preserve">MA </w:t>
      </w:r>
      <w:bookmarkStart w:id="15" w:name="xdx_90F_edei--EntityAddressPostalZipCode"/>
      <w:bookmarkEnd w:id="15"/>
      <w:r>
        <w:rPr>
          <w:rFonts w:ascii="Times New Roman;Times;Serif" w:hAnsi="Times New Roman;Times;Serif"/>
          <w:b/>
          <w:i w:val="false"/>
          <w:caps w:val="false"/>
          <w:smallCaps w:val="false"/>
          <w:sz w:val="20"/>
        </w:rPr>
        <w:t>02043</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0_edei--CityAreaCode_c20260101__20"/>
      <w:bookmarkEnd w:id="16"/>
      <w:r>
        <w:rPr>
          <w:rFonts w:ascii="Times New Roman;Times;Serif" w:hAnsi="Times New Roman;Times;Serif"/>
          <w:b/>
          <w:i w:val="false"/>
          <w:caps w:val="false"/>
          <w:smallCaps w:val="false"/>
          <w:sz w:val="20"/>
        </w:rPr>
        <w:t xml:space="preserve">(781) </w:t>
      </w:r>
      <w:bookmarkStart w:id="17" w:name="xdx_902_edei--LocalPhoneNumber_c20260101"/>
      <w:bookmarkEnd w:id="17"/>
      <w:r>
        <w:rPr>
          <w:rFonts w:ascii="Times New Roman;Times;Serif" w:hAnsi="Times New Roman;Times;Serif"/>
          <w:b/>
          <w:i w:val="false"/>
          <w:caps w:val="false"/>
          <w:smallCaps w:val="false"/>
          <w:sz w:val="20"/>
        </w:rPr>
        <w:t>875-3605</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6810" w:type="dxa"/>
        <w:jc w:val="left"/>
        <w:tblInd w:w="0" w:type="dxa"/>
        <w:tblLayout w:type="fixed"/>
        <w:tblCellMar>
          <w:top w:w="0" w:type="dxa"/>
          <w:left w:w="0" w:type="dxa"/>
          <w:bottom w:w="28" w:type="dxa"/>
          <w:right w:w="0" w:type="dxa"/>
        </w:tblCellMar>
      </w:tblPr>
      <w:tblGrid>
        <w:gridCol w:w="1565"/>
        <w:gridCol w:w="60"/>
        <w:gridCol w:w="1535"/>
        <w:gridCol w:w="60"/>
        <w:gridCol w:w="3590"/>
      </w:tblGrid>
      <w:tr>
        <w:trPr/>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5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101"/>
            <w:bookmarkEnd w:id="18"/>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0101__2"/>
            <w:bookmarkEnd w:id="19"/>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B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bookmarkStart w:id="22" w:name="xdx_902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060"/>
        <w:gridCol w:w="245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6_edei--EntityFilerCategory_c20260"/>
            <w:bookmarkEnd w:id="23"/>
            <w:r>
              <w:rPr>
                <w:rFonts w:ascii="Times New Roman;Times;Serif" w:hAnsi="Times New Roman;Times;Serif"/>
                <w:b w:val="false"/>
                <w:i w:val="false"/>
                <w:caps w:val="false"/>
                <w:smallCaps w:val="false"/>
                <w:sz w:val="20"/>
              </w:rPr>
              <w:t>Non-accelerated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C_edei--EntitySmallBusiness_c20260"/>
            <w:bookmarkEnd w:id="24"/>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4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w:t>
      </w:r>
      <w:bookmarkStart w:id="27" w:name="xdx_90E_edei--EntityCommonStockSharesOut"/>
      <w:bookmarkEnd w:id="27"/>
      <w:r>
        <w:rPr>
          <w:rFonts w:ascii="Times New Roman;Times;Serif" w:hAnsi="Times New Roman;Times;Serif"/>
          <w:b w:val="false"/>
          <w:i w:val="false"/>
          <w:caps w:val="false"/>
          <w:smallCaps w:val="false"/>
          <w:sz w:val="20"/>
        </w:rPr>
        <w:t>67,164,801 shares of Common Stock, $</w:t>
      </w:r>
      <w:bookmarkStart w:id="28" w:name="xdx_901_edei--EntityListingParValuePerSh"/>
      <w:bookmarkEnd w:id="28"/>
      <w:r>
        <w:rPr>
          <w:rFonts w:ascii="Times New Roman;Times;Serif" w:hAnsi="Times New Roman;Times;Serif"/>
          <w:b w:val="false"/>
          <w:i w:val="false"/>
          <w:caps w:val="false"/>
          <w:smallCaps w:val="false"/>
          <w:sz w:val="20"/>
        </w:rPr>
        <w:t>0.01 par value at August 11, 2026.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 AND SUBSIDIARY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 Financial Statements</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Interim Condensed Consolidated Balance Sheets as of June 30, 2026 (Unaudited) and December 31, 2025 (Audited)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Interim Condensed Consolidated Statements of Comprehensive Loss for the Three and Six Months Ended June 30, 2026 and 2025 (Unaudited)</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6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Interim Condensed Consolidated Statements of Shareholders’ Equity for the Three and Six Months Ended June 30, 2026 and 2025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60" w:type="dxa"/>
            <w:tcBorders/>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Interim Condensed Consolidated Statements of Cash Flows for the Six Months Ended June 30, 2026 and 2025 (Unaudited)</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6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Notes to Interim Unaudited Condensed Consolidated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60" w:type="dxa"/>
            <w:tcBorders/>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6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4 - Controls and Procedures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Part II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1 - Legal Proceedings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Item 1A -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2 - Unregistered Sales of Equity Securities and Use of Proceeds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3 -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4 - Mine Safety Disclosures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5 -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6 - Exhibits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96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p>
      <w:pPr>
        <w:pStyle w:val="TextBody"/>
        <w:bidi w:val="0"/>
        <w:spacing w:before="0" w:after="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9" w:name="a_001"/>
      <w:bookmarkEnd w:id="29"/>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1_111_pn3n3_zjm8E8KUeTi9"/>
      <w:bookmarkStart w:id="31" w:name="xdx_301_111_pn3n3_zjm8E8KUeTi9"/>
      <w:bookmarkEnd w:id="31"/>
    </w:p>
    <w:tbl>
      <w:tblPr>
        <w:tblW w:w="10205" w:type="dxa"/>
        <w:jc w:val="left"/>
        <w:tblInd w:w="0" w:type="dxa"/>
        <w:tblLayout w:type="fixed"/>
        <w:tblCellMar>
          <w:top w:w="0" w:type="dxa"/>
          <w:left w:w="0" w:type="dxa"/>
          <w:bottom w:w="0" w:type="dxa"/>
          <w:right w:w="0" w:type="dxa"/>
        </w:tblCellMar>
      </w:tblPr>
      <w:tblGrid>
        <w:gridCol w:w="6840"/>
        <w:gridCol w:w="60"/>
        <w:gridCol w:w="590"/>
        <w:gridCol w:w="60"/>
        <w:gridCol w:w="153"/>
        <w:gridCol w:w="959"/>
        <w:gridCol w:w="95"/>
        <w:gridCol w:w="60"/>
        <w:gridCol w:w="175"/>
        <w:gridCol w:w="1101"/>
        <w:gridCol w:w="112"/>
      </w:tblGrid>
      <w:tr>
        <w:trPr/>
        <w:tc>
          <w:tcPr>
            <w:tcW w:w="6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 w:name="xdx_499_20260630_zhAQOl0PBQyg"/>
            <w:bookmarkEnd w:id="32"/>
          </w:p>
        </w:tc>
        <w:tc>
          <w:tcPr>
            <w:tcW w:w="1112"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9_20251231_zmGJMWp6AqY6"/>
            <w:bookmarkEnd w:id="33"/>
          </w:p>
        </w:tc>
        <w:tc>
          <w:tcPr>
            <w:tcW w:w="1276" w:type="dxa"/>
            <w:gridSpan w:val="2"/>
            <w:tcBorders/>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6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6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center"/>
              <w:rPr/>
            </w:pPr>
            <w:r>
              <w:rPr/>
              <w:t>Audited</w:t>
            </w:r>
          </w:p>
        </w:tc>
        <w:tc>
          <w:tcPr>
            <w:tcW w:w="112" w:type="dxa"/>
            <w:tcBorders/>
            <w:vAlign w:val="center"/>
          </w:tcPr>
          <w:p>
            <w:pPr>
              <w:pStyle w:val="TableContents"/>
              <w:bidi w:val="0"/>
              <w:spacing w:before="0" w:after="283"/>
              <w:jc w:val="left"/>
              <w:rPr/>
            </w:pPr>
            <w:r>
              <w:rPr/>
              <w:t> </w:t>
            </w:r>
            <w:bookmarkStart w:id="34" w:name="xdx_400_eus-gaap--AssetsAbstract_iB_z4rP"/>
            <w:bookmarkEnd w:id="34"/>
          </w:p>
        </w:tc>
      </w:tr>
      <w:tr>
        <w:trPr/>
        <w:tc>
          <w:tcPr>
            <w:tcW w:w="684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5" w:name="xdx_409_eus-gaap--AssetsCurrentAbstract_"/>
            <w:bookmarkEnd w:id="35"/>
          </w:p>
        </w:tc>
      </w:tr>
      <w:tr>
        <w:trPr/>
        <w:tc>
          <w:tcPr>
            <w:tcW w:w="684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36" w:name="xdx_40F_eus-gaap--CashAndCashEquivalents"/>
            <w:bookmarkEnd w:id="36"/>
          </w:p>
        </w:tc>
      </w:tr>
      <w:tr>
        <w:trPr/>
        <w:tc>
          <w:tcPr>
            <w:tcW w:w="68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3,152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3,912</w:t>
            </w:r>
          </w:p>
        </w:tc>
        <w:tc>
          <w:tcPr>
            <w:tcW w:w="112" w:type="dxa"/>
            <w:tcBorders/>
            <w:shd w:fill="CCEEFF" w:val="clear"/>
            <w:vAlign w:val="center"/>
          </w:tcPr>
          <w:p>
            <w:pPr>
              <w:pStyle w:val="TableContents"/>
              <w:bidi w:val="0"/>
              <w:spacing w:before="0" w:after="283"/>
              <w:jc w:val="left"/>
              <w:rPr/>
            </w:pPr>
            <w:r>
              <w:rPr/>
              <w:t> </w:t>
            </w:r>
            <w:bookmarkStart w:id="37" w:name="xdx_403_eus-gaap--MarketableSecuritiesCu"/>
            <w:bookmarkEnd w:id="37"/>
          </w:p>
        </w:tc>
      </w:tr>
      <w:tr>
        <w:trPr/>
        <w:tc>
          <w:tcPr>
            <w:tcW w:w="6840" w:type="dxa"/>
            <w:tcBorders/>
            <w:vAlign w:val="center"/>
          </w:tcPr>
          <w:p>
            <w:pPr>
              <w:pStyle w:val="TableContents"/>
              <w:bidi w:val="0"/>
              <w:spacing w:before="0" w:after="283"/>
              <w:jc w:val="left"/>
              <w:rPr/>
            </w:pPr>
            <w:r>
              <w:rPr/>
              <w:t>Marketable securities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64,215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74,680</w:t>
            </w:r>
          </w:p>
        </w:tc>
        <w:tc>
          <w:tcPr>
            <w:tcW w:w="112" w:type="dxa"/>
            <w:tcBorders/>
            <w:vAlign w:val="center"/>
          </w:tcPr>
          <w:p>
            <w:pPr>
              <w:pStyle w:val="TableContents"/>
              <w:bidi w:val="0"/>
              <w:spacing w:before="0" w:after="283"/>
              <w:jc w:val="left"/>
              <w:rPr/>
            </w:pPr>
            <w:r>
              <w:rPr/>
              <w:t> </w:t>
            </w:r>
            <w:bookmarkStart w:id="38" w:name="xdx_408_eus-gaap--RestrictedCashAndCashE"/>
            <w:bookmarkEnd w:id="38"/>
          </w:p>
        </w:tc>
      </w:tr>
      <w:tr>
        <w:trPr/>
        <w:tc>
          <w:tcPr>
            <w:tcW w:w="684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2</w:t>
            </w:r>
          </w:p>
        </w:tc>
        <w:tc>
          <w:tcPr>
            <w:tcW w:w="112" w:type="dxa"/>
            <w:tcBorders/>
            <w:shd w:fill="CCEEFF" w:val="clear"/>
            <w:vAlign w:val="center"/>
          </w:tcPr>
          <w:p>
            <w:pPr>
              <w:pStyle w:val="TableContents"/>
              <w:bidi w:val="0"/>
              <w:spacing w:before="0" w:after="283"/>
              <w:jc w:val="left"/>
              <w:rPr/>
            </w:pPr>
            <w:r>
              <w:rPr/>
              <w:t> </w:t>
            </w:r>
            <w:bookmarkStart w:id="39" w:name="xdx_405_eus-gaap--DepositsAssetsCurrent_"/>
            <w:bookmarkEnd w:id="39"/>
          </w:p>
        </w:tc>
      </w:tr>
      <w:tr>
        <w:trPr/>
        <w:tc>
          <w:tcPr>
            <w:tcW w:w="6840" w:type="dxa"/>
            <w:tcBorders/>
            <w:vAlign w:val="center"/>
          </w:tcPr>
          <w:p>
            <w:pPr>
              <w:pStyle w:val="TableContents"/>
              <w:bidi w:val="0"/>
              <w:spacing w:before="0" w:after="283"/>
              <w:jc w:val="left"/>
              <w:rPr/>
            </w:pPr>
            <w:r>
              <w:rPr/>
              <w:t>Restricted deposit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814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bookmarkStart w:id="40" w:name="xdx_400_eus-gaap--AccountsReceivableNetC"/>
            <w:bookmarkEnd w:id="40"/>
          </w:p>
        </w:tc>
      </w:tr>
      <w:tr>
        <w:trPr/>
        <w:tc>
          <w:tcPr>
            <w:tcW w:w="684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41" w:name="xdx_407_eus-gaap--InventoryNet_i02I_maCz"/>
            <w:bookmarkEnd w:id="41"/>
          </w:p>
        </w:tc>
      </w:tr>
      <w:tr>
        <w:trPr/>
        <w:tc>
          <w:tcPr>
            <w:tcW w:w="6840" w:type="dxa"/>
            <w:tcBorders/>
            <w:vAlign w:val="center"/>
          </w:tcPr>
          <w:p>
            <w:pPr>
              <w:pStyle w:val="TableContents"/>
              <w:bidi w:val="0"/>
              <w:spacing w:before="0" w:after="283"/>
              <w:jc w:val="left"/>
              <w:rPr/>
            </w:pPr>
            <w:r>
              <w:rPr/>
              <w:t>Inventory</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2,907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584</w:t>
            </w:r>
          </w:p>
        </w:tc>
        <w:tc>
          <w:tcPr>
            <w:tcW w:w="112" w:type="dxa"/>
            <w:tcBorders/>
            <w:vAlign w:val="center"/>
          </w:tcPr>
          <w:p>
            <w:pPr>
              <w:pStyle w:val="TableContents"/>
              <w:bidi w:val="0"/>
              <w:spacing w:before="0" w:after="283"/>
              <w:jc w:val="left"/>
              <w:rPr/>
            </w:pPr>
            <w:r>
              <w:rPr/>
              <w:t> </w:t>
            </w:r>
            <w:bookmarkStart w:id="42" w:name="xdx_408_eus-gaap--PrepaidExpenseAndOther"/>
            <w:bookmarkEnd w:id="42"/>
          </w:p>
        </w:tc>
      </w:tr>
      <w:tr>
        <w:trPr/>
        <w:tc>
          <w:tcPr>
            <w:tcW w:w="684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pPr>
            <w:r>
              <w:rPr/>
              <w:t>644</w:t>
            </w:r>
          </w:p>
        </w:tc>
        <w:tc>
          <w:tcPr>
            <w:tcW w:w="112" w:type="dxa"/>
            <w:tcBorders/>
            <w:shd w:fill="CCEEFF" w:val="clear"/>
            <w:vAlign w:val="center"/>
          </w:tcPr>
          <w:p>
            <w:pPr>
              <w:pStyle w:val="TableContents"/>
              <w:bidi w:val="0"/>
              <w:spacing w:before="0" w:after="283"/>
              <w:jc w:val="left"/>
              <w:rPr/>
            </w:pPr>
            <w:r>
              <w:rPr/>
              <w:t> </w:t>
            </w:r>
            <w:bookmarkStart w:id="43" w:name="xdx_409_eus-gaap--AssetsCurrent_i02TI_mt"/>
            <w:bookmarkEnd w:id="43"/>
          </w:p>
        </w:tc>
      </w:tr>
      <w:tr>
        <w:trPr/>
        <w:tc>
          <w:tcPr>
            <w:tcW w:w="6840" w:type="dxa"/>
            <w:tcBorders/>
            <w:vAlign w:val="center"/>
          </w:tcPr>
          <w:p>
            <w:pPr>
              <w:pStyle w:val="TableContents"/>
              <w:bidi w:val="0"/>
              <w:spacing w:before="0" w:after="283"/>
              <w:jc w:val="left"/>
              <w:rPr/>
            </w:pPr>
            <w:r>
              <w:rPr/>
              <w:t>Total current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72,173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79,822</w:t>
            </w:r>
          </w:p>
        </w:tc>
        <w:tc>
          <w:tcPr>
            <w:tcW w:w="112" w:type="dxa"/>
            <w:tcBorders/>
            <w:vAlign w:val="center"/>
          </w:tcPr>
          <w:p>
            <w:pPr>
              <w:pStyle w:val="TableContents"/>
              <w:bidi w:val="0"/>
              <w:spacing w:before="0" w:after="283"/>
              <w:jc w:val="left"/>
              <w:rPr/>
            </w:pPr>
            <w:r>
              <w:rPr/>
              <w:t> </w:t>
            </w:r>
          </w:p>
        </w:tc>
      </w:tr>
      <w:tr>
        <w:trPr/>
        <w:tc>
          <w:tcPr>
            <w:tcW w:w="6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 w:name="xdx_40F_eus-gaap--AssetsNoncurrentAbstra"/>
            <w:bookmarkEnd w:id="44"/>
          </w:p>
        </w:tc>
      </w:tr>
      <w:tr>
        <w:trPr/>
        <w:tc>
          <w:tcPr>
            <w:tcW w:w="6840" w:type="dxa"/>
            <w:tcBorders/>
            <w:vAlign w:val="center"/>
          </w:tcPr>
          <w:p>
            <w:pPr>
              <w:pStyle w:val="TableContents"/>
              <w:bidi w:val="0"/>
              <w:spacing w:before="0" w:after="283"/>
              <w:jc w:val="left"/>
              <w:rPr/>
            </w:pPr>
            <w:r>
              <w:rPr/>
              <w:t>Long-term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45" w:name="xdx_407_eus-gaap--RestrictedCashAndCashE"/>
            <w:bookmarkEnd w:id="45"/>
          </w:p>
        </w:tc>
      </w:tr>
      <w:tr>
        <w:trPr/>
        <w:tc>
          <w:tcPr>
            <w:tcW w:w="684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59</w:t>
            </w:r>
          </w:p>
        </w:tc>
        <w:tc>
          <w:tcPr>
            <w:tcW w:w="112" w:type="dxa"/>
            <w:tcBorders/>
            <w:shd w:fill="CCEEFF" w:val="clear"/>
            <w:vAlign w:val="center"/>
          </w:tcPr>
          <w:p>
            <w:pPr>
              <w:pStyle w:val="TableContents"/>
              <w:bidi w:val="0"/>
              <w:spacing w:before="0" w:after="283"/>
              <w:jc w:val="left"/>
              <w:rPr/>
            </w:pPr>
            <w:r>
              <w:rPr/>
              <w:t> </w:t>
            </w:r>
            <w:bookmarkStart w:id="46" w:name="xdx_407_eus-gaap--DepositsAssetsNoncurre"/>
            <w:bookmarkEnd w:id="46"/>
          </w:p>
        </w:tc>
      </w:tr>
      <w:tr>
        <w:trPr/>
        <w:tc>
          <w:tcPr>
            <w:tcW w:w="6840" w:type="dxa"/>
            <w:tcBorders/>
            <w:vAlign w:val="center"/>
          </w:tcPr>
          <w:p>
            <w:pPr>
              <w:pStyle w:val="TableContents"/>
              <w:bidi w:val="0"/>
              <w:spacing w:before="0" w:after="283"/>
              <w:jc w:val="left"/>
              <w:rPr/>
            </w:pPr>
            <w:r>
              <w:rPr/>
              <w:t>Long-term deposit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737</w:t>
            </w:r>
          </w:p>
        </w:tc>
        <w:tc>
          <w:tcPr>
            <w:tcW w:w="112" w:type="dxa"/>
            <w:tcBorders/>
            <w:vAlign w:val="center"/>
          </w:tcPr>
          <w:p>
            <w:pPr>
              <w:pStyle w:val="TableContents"/>
              <w:bidi w:val="0"/>
              <w:spacing w:before="0" w:after="283"/>
              <w:jc w:val="left"/>
              <w:rPr/>
            </w:pPr>
            <w:r>
              <w:rPr/>
              <w:t> </w:t>
            </w:r>
            <w:bookmarkStart w:id="47" w:name="xdx_40A_eus-gaap--PropertyPlantAndEquipm"/>
            <w:bookmarkEnd w:id="47"/>
          </w:p>
        </w:tc>
      </w:tr>
      <w:tr>
        <w:trPr/>
        <w:tc>
          <w:tcPr>
            <w:tcW w:w="684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93</w:t>
            </w:r>
          </w:p>
        </w:tc>
        <w:tc>
          <w:tcPr>
            <w:tcW w:w="112" w:type="dxa"/>
            <w:tcBorders/>
            <w:shd w:fill="CCEEFF" w:val="clear"/>
            <w:vAlign w:val="center"/>
          </w:tcPr>
          <w:p>
            <w:pPr>
              <w:pStyle w:val="TableContents"/>
              <w:bidi w:val="0"/>
              <w:spacing w:before="0" w:after="283"/>
              <w:jc w:val="left"/>
              <w:rPr/>
            </w:pPr>
            <w:r>
              <w:rPr/>
              <w:t> </w:t>
            </w:r>
            <w:bookmarkStart w:id="48" w:name="xdx_405_eus-gaap--OperatingLeaseRightOfU"/>
            <w:bookmarkEnd w:id="48"/>
          </w:p>
        </w:tc>
      </w:tr>
      <w:tr>
        <w:trPr/>
        <w:tc>
          <w:tcPr>
            <w:tcW w:w="6840" w:type="dxa"/>
            <w:tcBorders/>
            <w:vAlign w:val="center"/>
          </w:tcPr>
          <w:p>
            <w:pPr>
              <w:pStyle w:val="TableContents"/>
              <w:bidi w:val="0"/>
              <w:spacing w:before="0" w:after="283"/>
              <w:jc w:val="left"/>
              <w:rPr/>
            </w:pPr>
            <w:r>
              <w:rPr/>
              <w:t>Operating right-of-use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tcMar>
              <w:bottom w:w="28" w:type="dxa"/>
            </w:tcMar>
            <w:vAlign w:val="center"/>
          </w:tcPr>
          <w:p>
            <w:pPr>
              <w:pStyle w:val="TableContents"/>
              <w:bidi w:val="0"/>
              <w:spacing w:before="0" w:after="283"/>
              <w:jc w:val="right"/>
              <w:rPr/>
            </w:pPr>
            <w:r>
              <w:rPr/>
              <w:t>800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right"/>
              <w:rPr/>
            </w:pPr>
            <w:r>
              <w:rPr/>
              <w:t>833</w:t>
            </w:r>
          </w:p>
        </w:tc>
        <w:tc>
          <w:tcPr>
            <w:tcW w:w="112" w:type="dxa"/>
            <w:tcBorders/>
            <w:vAlign w:val="center"/>
          </w:tcPr>
          <w:p>
            <w:pPr>
              <w:pStyle w:val="TableContents"/>
              <w:bidi w:val="0"/>
              <w:spacing w:before="0" w:after="283"/>
              <w:jc w:val="left"/>
              <w:rPr/>
            </w:pPr>
            <w:r>
              <w:rPr/>
              <w:t> </w:t>
            </w:r>
            <w:bookmarkStart w:id="49" w:name="xdx_405_eus-gaap--Assets_i02TI_mtCz2Pl_z"/>
            <w:bookmarkEnd w:id="49"/>
          </w:p>
        </w:tc>
      </w:tr>
      <w:tr>
        <w:trPr/>
        <w:tc>
          <w:tcPr>
            <w:tcW w:w="68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jc w:val="right"/>
              <w:rPr/>
            </w:pPr>
            <w:r>
              <w:rPr/>
              <w:t>73,365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pPr>
            <w:r>
              <w:rPr/>
              <w:t>81,544</w:t>
            </w:r>
          </w:p>
        </w:tc>
        <w:tc>
          <w:tcPr>
            <w:tcW w:w="112" w:type="dxa"/>
            <w:tcBorders/>
            <w:shd w:fill="CCEEFF" w:val="clear"/>
            <w:vAlign w:val="center"/>
          </w:tcPr>
          <w:p>
            <w:pPr>
              <w:pStyle w:val="TableContents"/>
              <w:bidi w:val="0"/>
              <w:spacing w:before="0" w:after="283"/>
              <w:jc w:val="left"/>
              <w:rPr/>
            </w:pPr>
            <w:r>
              <w:rPr/>
              <w:t> </w:t>
            </w:r>
          </w:p>
        </w:tc>
      </w:tr>
      <w:tr>
        <w:trPr/>
        <w:tc>
          <w:tcPr>
            <w:tcW w:w="6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50" w:name="xdx_40C_eus-gaap--LiabilitiesAndStockhol"/>
            <w:bookmarkEnd w:id="50"/>
          </w:p>
        </w:tc>
      </w:tr>
      <w:tr>
        <w:trPr/>
        <w:tc>
          <w:tcPr>
            <w:tcW w:w="6840"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1" w:name="xdx_400_eus-gaap--LiabilitiesCurrentAbst"/>
            <w:bookmarkEnd w:id="51"/>
          </w:p>
        </w:tc>
      </w:tr>
      <w:tr>
        <w:trPr/>
        <w:tc>
          <w:tcPr>
            <w:tcW w:w="6840"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52" w:name="xdx_40E_eus-gaap--AccountsPayableCurrent"/>
            <w:bookmarkEnd w:id="52"/>
          </w:p>
        </w:tc>
      </w:tr>
      <w:tr>
        <w:trPr/>
        <w:tc>
          <w:tcPr>
            <w:tcW w:w="68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59"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511</w:t>
            </w:r>
          </w:p>
        </w:tc>
        <w:tc>
          <w:tcPr>
            <w:tcW w:w="112" w:type="dxa"/>
            <w:tcBorders/>
            <w:shd w:fill="CCEEFF" w:val="clear"/>
            <w:vAlign w:val="center"/>
          </w:tcPr>
          <w:p>
            <w:pPr>
              <w:pStyle w:val="TableContents"/>
              <w:bidi w:val="0"/>
              <w:spacing w:before="0" w:after="283"/>
              <w:jc w:val="left"/>
              <w:rPr/>
            </w:pPr>
            <w:r>
              <w:rPr/>
              <w:t> </w:t>
            </w:r>
            <w:bookmarkStart w:id="53" w:name="xdx_40E_eus-gaap--OperatingLeaseLiabilit"/>
            <w:bookmarkEnd w:id="53"/>
          </w:p>
        </w:tc>
      </w:tr>
      <w:tr>
        <w:trPr/>
        <w:tc>
          <w:tcPr>
            <w:tcW w:w="6840" w:type="dxa"/>
            <w:tcBorders/>
            <w:vAlign w:val="center"/>
          </w:tcPr>
          <w:p>
            <w:pPr>
              <w:pStyle w:val="TableContents"/>
              <w:bidi w:val="0"/>
              <w:spacing w:before="0" w:after="283"/>
              <w:jc w:val="left"/>
              <w:rPr/>
            </w:pPr>
            <w:r>
              <w:rPr/>
              <w:t>Lease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296</w:t>
            </w:r>
          </w:p>
        </w:tc>
        <w:tc>
          <w:tcPr>
            <w:tcW w:w="112" w:type="dxa"/>
            <w:tcBorders/>
            <w:vAlign w:val="center"/>
          </w:tcPr>
          <w:p>
            <w:pPr>
              <w:pStyle w:val="TableContents"/>
              <w:bidi w:val="0"/>
              <w:spacing w:before="0" w:after="283"/>
              <w:jc w:val="left"/>
              <w:rPr/>
            </w:pPr>
            <w:r>
              <w:rPr/>
              <w:t> </w:t>
            </w:r>
            <w:bookmarkStart w:id="54" w:name="xdx_40A_eus-gaap--AccruedLiabilitiesCurr"/>
            <w:bookmarkEnd w:id="54"/>
          </w:p>
        </w:tc>
      </w:tr>
      <w:tr>
        <w:trPr/>
        <w:tc>
          <w:tcPr>
            <w:tcW w:w="684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2,691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pPr>
            <w:r>
              <w:rPr/>
              <w:t>2,614</w:t>
            </w:r>
          </w:p>
        </w:tc>
        <w:tc>
          <w:tcPr>
            <w:tcW w:w="112" w:type="dxa"/>
            <w:tcBorders/>
            <w:shd w:fill="CCEEFF" w:val="clear"/>
            <w:vAlign w:val="center"/>
          </w:tcPr>
          <w:p>
            <w:pPr>
              <w:pStyle w:val="TableContents"/>
              <w:bidi w:val="0"/>
              <w:spacing w:before="0" w:after="283"/>
              <w:jc w:val="left"/>
              <w:rPr/>
            </w:pPr>
            <w:r>
              <w:rPr/>
              <w:t> </w:t>
            </w:r>
            <w:bookmarkStart w:id="55" w:name="xdx_408_eus-gaap--LiabilitiesCurrent_i02"/>
            <w:bookmarkEnd w:id="55"/>
          </w:p>
        </w:tc>
      </w:tr>
      <w:tr>
        <w:trPr/>
        <w:tc>
          <w:tcPr>
            <w:tcW w:w="6840" w:type="dxa"/>
            <w:tcBorders/>
            <w:vAlign w:val="center"/>
          </w:tcPr>
          <w:p>
            <w:pPr>
              <w:pStyle w:val="TableContents"/>
              <w:bidi w:val="0"/>
              <w:spacing w:before="0" w:after="283"/>
              <w:jc w:val="left"/>
              <w:rPr/>
            </w:pPr>
            <w:r>
              <w:rPr/>
              <w:t>Total current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3,888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3,421</w:t>
            </w:r>
          </w:p>
        </w:tc>
        <w:tc>
          <w:tcPr>
            <w:tcW w:w="112" w:type="dxa"/>
            <w:tcBorders/>
            <w:vAlign w:val="center"/>
          </w:tcPr>
          <w:p>
            <w:pPr>
              <w:pStyle w:val="TableContents"/>
              <w:bidi w:val="0"/>
              <w:spacing w:before="0" w:after="283"/>
              <w:jc w:val="left"/>
              <w:rPr/>
            </w:pPr>
            <w:r>
              <w:rPr/>
              <w:t> </w:t>
            </w:r>
          </w:p>
        </w:tc>
      </w:tr>
      <w:tr>
        <w:trPr/>
        <w:tc>
          <w:tcPr>
            <w:tcW w:w="6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6" w:name="xdx_409_eus-gaap--LiabilitiesNoncurrentA"/>
            <w:bookmarkEnd w:id="56"/>
          </w:p>
        </w:tc>
      </w:tr>
      <w:tr>
        <w:trPr/>
        <w:tc>
          <w:tcPr>
            <w:tcW w:w="6840"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57" w:name="xdx_40E_eus-gaap--OperatingLeaseLiabilit"/>
            <w:bookmarkEnd w:id="57"/>
          </w:p>
        </w:tc>
      </w:tr>
      <w:tr>
        <w:trPr/>
        <w:tc>
          <w:tcPr>
            <w:tcW w:w="6840" w:type="dxa"/>
            <w:tcBorders/>
            <w:shd w:fill="CCEEFF" w:val="clear"/>
            <w:vAlign w:val="center"/>
          </w:tcPr>
          <w:p>
            <w:pPr>
              <w:pStyle w:val="TableContents"/>
              <w:bidi w:val="0"/>
              <w:spacing w:before="0" w:after="283"/>
              <w:jc w:val="left"/>
              <w:rPr/>
            </w:pPr>
            <w:r>
              <w:rPr/>
              <w:t>Long-term 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pPr>
            <w:r>
              <w:rPr/>
              <w:t>569</w:t>
            </w:r>
          </w:p>
        </w:tc>
        <w:tc>
          <w:tcPr>
            <w:tcW w:w="112" w:type="dxa"/>
            <w:tcBorders/>
            <w:shd w:fill="CCEEFF" w:val="clear"/>
            <w:vAlign w:val="center"/>
          </w:tcPr>
          <w:p>
            <w:pPr>
              <w:pStyle w:val="TableContents"/>
              <w:bidi w:val="0"/>
              <w:spacing w:before="0" w:after="283"/>
              <w:jc w:val="left"/>
              <w:rPr/>
            </w:pPr>
            <w:r>
              <w:rPr/>
              <w:t> </w:t>
            </w:r>
            <w:bookmarkStart w:id="58" w:name="xdx_408_eus-gaap--Liabilities_i01TI_mtCz"/>
            <w:bookmarkEnd w:id="58"/>
          </w:p>
        </w:tc>
      </w:tr>
      <w:tr>
        <w:trPr/>
        <w:tc>
          <w:tcPr>
            <w:tcW w:w="6840" w:type="dxa"/>
            <w:tcBorders/>
            <w:vAlign w:val="center"/>
          </w:tcPr>
          <w:p>
            <w:pPr>
              <w:pStyle w:val="TableContents"/>
              <w:bidi w:val="0"/>
              <w:spacing w:before="0" w:after="283"/>
              <w:jc w:val="left"/>
              <w:rPr/>
            </w:pPr>
            <w:r>
              <w:rPr/>
              <w:t>Total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tcMar>
              <w:bottom w:w="28" w:type="dxa"/>
            </w:tcMar>
            <w:vAlign w:val="center"/>
          </w:tcPr>
          <w:p>
            <w:pPr>
              <w:pStyle w:val="TableContents"/>
              <w:bidi w:val="0"/>
              <w:spacing w:before="0" w:after="283"/>
              <w:jc w:val="right"/>
              <w:rPr/>
            </w:pPr>
            <w:r>
              <w:rPr/>
              <w:t>4,438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right"/>
              <w:rPr/>
            </w:pPr>
            <w:r>
              <w:rPr/>
              <w:t>3,990</w:t>
            </w:r>
          </w:p>
        </w:tc>
        <w:tc>
          <w:tcPr>
            <w:tcW w:w="112" w:type="dxa"/>
            <w:tcBorders/>
            <w:vAlign w:val="center"/>
          </w:tcPr>
          <w:p>
            <w:pPr>
              <w:pStyle w:val="TableContents"/>
              <w:bidi w:val="0"/>
              <w:spacing w:before="0" w:after="283"/>
              <w:jc w:val="left"/>
              <w:rPr/>
            </w:pPr>
            <w:r>
              <w:rPr/>
              <w:t> </w:t>
            </w:r>
          </w:p>
        </w:tc>
      </w:tr>
      <w:tr>
        <w:trPr/>
        <w:tc>
          <w:tcPr>
            <w:tcW w:w="6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2_eus-gaap--StockholdersEquityAbst"/>
            <w:bookmarkEnd w:id="59"/>
          </w:p>
        </w:tc>
      </w:tr>
      <w:tr>
        <w:trPr/>
        <w:tc>
          <w:tcPr>
            <w:tcW w:w="6840" w:type="dxa"/>
            <w:tcBorders/>
            <w:vAlign w:val="center"/>
          </w:tcPr>
          <w:p>
            <w:pPr>
              <w:pStyle w:val="TableContents"/>
              <w:bidi w:val="0"/>
              <w:spacing w:before="0" w:after="283"/>
              <w:jc w:val="left"/>
              <w:rPr/>
            </w:pPr>
            <w:r>
              <w:rPr/>
              <w:t>Shareholders’ equity:</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0" w:name="xdx_40D_eus-gaap--CommonStockValue_i02I_"/>
            <w:bookmarkEnd w:id="60"/>
          </w:p>
        </w:tc>
      </w:tr>
      <w:tr>
        <w:trPr/>
        <w:tc>
          <w:tcPr>
            <w:tcW w:w="6840" w:type="dxa"/>
            <w:tcBorders/>
            <w:vAlign w:val="center"/>
          </w:tcPr>
          <w:p>
            <w:pPr>
              <w:pStyle w:val="TableContents"/>
              <w:bidi w:val="0"/>
              <w:spacing w:before="0" w:after="283"/>
              <w:jc w:val="left"/>
              <w:rPr/>
            </w:pPr>
            <w:r>
              <w:rPr/>
              <w:t>Common stock; $</w:t>
            </w:r>
            <w:bookmarkStart w:id="61" w:name="xdx_904_eus-gaap--CommonStockParOrStated"/>
            <w:bookmarkStart w:id="62" w:name="xdx_904_eus-gaap--CommonStockParOrStated"/>
            <w:bookmarkEnd w:id="61"/>
            <w:bookmarkEnd w:id="62"/>
            <w:r>
              <w:rPr/>
              <w:t xml:space="preserve">0.01 par value; </w:t>
            </w:r>
            <w:bookmarkStart w:id="63" w:name="xdx_903_eus-gaap--CommonStockSharesAutho"/>
            <w:bookmarkStart w:id="64" w:name="xdx_90A_eus-gaap--CommonStockSharesAutho"/>
            <w:bookmarkEnd w:id="63"/>
            <w:bookmarkEnd w:id="64"/>
            <w:r>
              <w:rPr/>
              <w:t xml:space="preserve">120,000,000 shares authorized as of June 30, 2026 and December 31, 2025; </w:t>
            </w:r>
            <w:bookmarkStart w:id="65" w:name="xdx_90C_eus-gaap--CommonStockSharesOutst"/>
            <w:bookmarkStart w:id="66" w:name="xdx_90E_eus-gaap--CommonStockSharesIssue"/>
            <w:bookmarkEnd w:id="65"/>
            <w:bookmarkEnd w:id="66"/>
            <w:r>
              <w:rPr/>
              <w:t xml:space="preserve">67,164,801 and </w:t>
            </w:r>
            <w:bookmarkStart w:id="67" w:name="xdx_904_eus-gaap--CommonStockSharesOutst"/>
            <w:bookmarkStart w:id="68" w:name="xdx_900_eus-gaap--CommonStockSharesIssue"/>
            <w:bookmarkEnd w:id="67"/>
            <w:bookmarkEnd w:id="68"/>
            <w:r>
              <w:rPr/>
              <w:t>67,158,044 shares issued and outstanding as of June 30, 2026 and December 31, 2025, respectively.</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672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672</w:t>
            </w:r>
          </w:p>
        </w:tc>
        <w:tc>
          <w:tcPr>
            <w:tcW w:w="112" w:type="dxa"/>
            <w:tcBorders/>
            <w:vAlign w:val="center"/>
          </w:tcPr>
          <w:p>
            <w:pPr>
              <w:pStyle w:val="TableContents"/>
              <w:bidi w:val="0"/>
              <w:spacing w:before="0" w:after="283"/>
              <w:jc w:val="left"/>
              <w:rPr/>
            </w:pPr>
            <w:r>
              <w:rPr/>
              <w:t> </w:t>
            </w:r>
            <w:bookmarkStart w:id="69" w:name="xdx_40D_eus-gaap--AdditionalPaidInCapita"/>
            <w:bookmarkEnd w:id="69"/>
          </w:p>
        </w:tc>
      </w:tr>
      <w:tr>
        <w:trPr/>
        <w:tc>
          <w:tcPr>
            <w:tcW w:w="684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181,639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180,968</w:t>
            </w:r>
          </w:p>
        </w:tc>
        <w:tc>
          <w:tcPr>
            <w:tcW w:w="112" w:type="dxa"/>
            <w:tcBorders/>
            <w:shd w:fill="CCEEFF" w:val="clear"/>
            <w:vAlign w:val="center"/>
          </w:tcPr>
          <w:p>
            <w:pPr>
              <w:pStyle w:val="TableContents"/>
              <w:bidi w:val="0"/>
              <w:spacing w:before="0" w:after="283"/>
              <w:jc w:val="left"/>
              <w:rPr/>
            </w:pPr>
            <w:r>
              <w:rPr/>
              <w:t> </w:t>
            </w:r>
            <w:bookmarkStart w:id="70" w:name="xdx_406_eus-gaap--RetainedEarningsAccumu"/>
            <w:bookmarkEnd w:id="70"/>
          </w:p>
        </w:tc>
      </w:tr>
      <w:tr>
        <w:trPr/>
        <w:tc>
          <w:tcPr>
            <w:tcW w:w="6840"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tcMar>
              <w:bottom w:w="28" w:type="dxa"/>
            </w:tcMar>
            <w:vAlign w:val="center"/>
          </w:tcPr>
          <w:p>
            <w:pPr>
              <w:pStyle w:val="TableContents"/>
              <w:bidi w:val="0"/>
              <w:spacing w:before="0" w:after="283"/>
              <w:jc w:val="right"/>
              <w:rPr/>
            </w:pPr>
            <w:r>
              <w:rPr/>
              <w:t>(113,384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right"/>
              <w:rPr/>
            </w:pPr>
            <w:r>
              <w:rPr/>
              <w:t>(104,086</w:t>
            </w:r>
          </w:p>
        </w:tc>
        <w:tc>
          <w:tcPr>
            <w:tcW w:w="112" w:type="dxa"/>
            <w:tcBorders/>
            <w:vAlign w:val="center"/>
          </w:tcPr>
          <w:p>
            <w:pPr>
              <w:pStyle w:val="TableContents"/>
              <w:bidi w:val="0"/>
              <w:spacing w:before="0" w:after="283"/>
              <w:jc w:val="left"/>
              <w:rPr/>
            </w:pPr>
            <w:r>
              <w:rPr/>
              <w:t>)</w:t>
            </w:r>
            <w:bookmarkStart w:id="71" w:name="xdx_406_eus-gaap--StockholdersEquity_i02"/>
            <w:bookmarkEnd w:id="71"/>
          </w:p>
        </w:tc>
      </w:tr>
      <w:tr>
        <w:trPr/>
        <w:tc>
          <w:tcPr>
            <w:tcW w:w="684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68,927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pPr>
            <w:r>
              <w:rPr/>
              <w:t>77,554</w:t>
            </w:r>
          </w:p>
        </w:tc>
        <w:tc>
          <w:tcPr>
            <w:tcW w:w="112" w:type="dxa"/>
            <w:tcBorders/>
            <w:shd w:fill="CCEEFF" w:val="clear"/>
            <w:vAlign w:val="center"/>
          </w:tcPr>
          <w:p>
            <w:pPr>
              <w:pStyle w:val="TableContents"/>
              <w:bidi w:val="0"/>
              <w:spacing w:before="0" w:after="283"/>
              <w:jc w:val="left"/>
              <w:rPr/>
            </w:pPr>
            <w:r>
              <w:rPr/>
              <w:t> </w:t>
            </w:r>
            <w:bookmarkStart w:id="72" w:name="xdx_401_eus-gaap--LiabilitiesAndStockhol"/>
            <w:bookmarkEnd w:id="72"/>
          </w:p>
        </w:tc>
      </w:tr>
      <w:tr>
        <w:trPr/>
        <w:tc>
          <w:tcPr>
            <w:tcW w:w="6840" w:type="dxa"/>
            <w:tcBorders/>
            <w:vAlign w:val="center"/>
          </w:tcPr>
          <w:p>
            <w:pPr>
              <w:pStyle w:val="TableContents"/>
              <w:bidi w:val="0"/>
              <w:spacing w:before="0" w:after="283"/>
              <w:jc w:val="left"/>
              <w:rPr/>
            </w:pPr>
            <w:r>
              <w:rPr/>
              <w:t>Total liabilities and shareholders’ equity</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 w:type="dxa"/>
            <w:tcBorders>
              <w:bottom w:val="double" w:sz="6" w:space="0" w:color="000000"/>
            </w:tcBorders>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tcMar>
              <w:bottom w:w="28" w:type="dxa"/>
            </w:tcMar>
            <w:vAlign w:val="center"/>
          </w:tcPr>
          <w:p>
            <w:pPr>
              <w:pStyle w:val="TableContents"/>
              <w:bidi w:val="0"/>
              <w:spacing w:before="0" w:after="283"/>
              <w:jc w:val="right"/>
              <w:rPr/>
            </w:pPr>
            <w:r>
              <w:rPr/>
              <w:t>73,365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double" w:sz="6" w:space="0" w:color="000000"/>
            </w:tcBorders>
            <w:tcMar>
              <w:bottom w:w="28" w:type="dxa"/>
            </w:tcMar>
            <w:vAlign w:val="center"/>
          </w:tcPr>
          <w:p>
            <w:pPr>
              <w:pStyle w:val="TableContents"/>
              <w:bidi w:val="0"/>
              <w:spacing w:before="0" w:after="283"/>
              <w:jc w:val="left"/>
              <w:rPr/>
            </w:pPr>
            <w:r>
              <w:rPr/>
              <w:t>$</w:t>
            </w:r>
          </w:p>
        </w:tc>
        <w:tc>
          <w:tcPr>
            <w:tcW w:w="1101" w:type="dxa"/>
            <w:tcBorders>
              <w:bottom w:val="double" w:sz="6" w:space="0" w:color="000000"/>
            </w:tcBorders>
            <w:tcMar>
              <w:bottom w:w="28" w:type="dxa"/>
            </w:tcMar>
            <w:vAlign w:val="center"/>
          </w:tcPr>
          <w:p>
            <w:pPr>
              <w:pStyle w:val="TableContents"/>
              <w:bidi w:val="0"/>
              <w:spacing w:before="0" w:after="283"/>
              <w:jc w:val="right"/>
              <w:rPr/>
            </w:pPr>
            <w:r>
              <w:rPr/>
              <w:t>81,544</w:t>
            </w:r>
          </w:p>
        </w:tc>
        <w:tc>
          <w:tcPr>
            <w:tcW w:w="112"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73" w:name="a_002"/>
      <w:bookmarkEnd w:id="73"/>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1_113_pn3n3_zHuaGrXfzPx3"/>
      <w:bookmarkStart w:id="75" w:name="xdx_301_113_pn3n3_zHuaGrXfzPx3"/>
      <w:bookmarkEnd w:id="75"/>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0_20260401__20260630_zGyV7XfEBMha"/>
            <w:bookmarkEnd w:id="7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9_20250401__20250630_zX5bXBoCyXSb"/>
            <w:bookmarkEnd w:id="7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9C_20260101__20260630_zF0LzjBtppbk"/>
            <w:bookmarkEnd w:id="7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7_20250101__20250630_zWEAgt555Rhl"/>
            <w:bookmarkEnd w:id="7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bookmarkStart w:id="80" w:name="xdx_407_eus-gaap--RevenueFromContractWit"/>
            <w:bookmarkEnd w:id="80"/>
          </w:p>
        </w:tc>
      </w:tr>
      <w:tr>
        <w:trPr/>
        <w:tc>
          <w:tcPr>
            <w:tcW w:w="46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1" w:name="xdx_40E_eus-gaap--CostOfRevenue_iN_di_ms"/>
            <w:bookmarkEnd w:id="81"/>
          </w:p>
        </w:tc>
      </w:tr>
      <w:tr>
        <w:trPr/>
        <w:tc>
          <w:tcPr>
            <w:tcW w:w="461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(884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(987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bookmarkStart w:id="82" w:name="xdx_40C_eus-gaap--GrossProfit_iT_mtCzyJq"/>
            <w:bookmarkEnd w:id="82"/>
          </w:p>
        </w:tc>
      </w:tr>
      <w:tr>
        <w:trPr/>
        <w:tc>
          <w:tcPr>
            <w:tcW w:w="461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3" w:name="xdx_403_eus-gaap--ResearchAndDevelopment"/>
            <w:bookmarkEnd w:id="83"/>
          </w:p>
        </w:tc>
      </w:tr>
      <w:tr>
        <w:trPr/>
        <w:tc>
          <w:tcPr>
            <w:tcW w:w="4610" w:type="dxa"/>
            <w:tcBorders/>
            <w:vAlign w:val="center"/>
          </w:tcPr>
          <w:p>
            <w:pPr>
              <w:pStyle w:val="TableContents"/>
              <w:bidi w:val="0"/>
              <w:spacing w:before="0" w:after="283"/>
              <w:jc w:val="left"/>
              <w:rPr/>
            </w:pPr>
            <w:r>
              <w:rPr/>
              <w:t>Research and development,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(2,111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(3,570</w:t>
            </w:r>
          </w:p>
        </w:tc>
        <w:tc>
          <w:tcPr>
            <w:tcW w:w="110" w:type="dxa"/>
            <w:tcBorders/>
            <w:vAlign w:val="center"/>
          </w:tcPr>
          <w:p>
            <w:pPr>
              <w:pStyle w:val="TableContents"/>
              <w:bidi w:val="0"/>
              <w:spacing w:before="0" w:after="283"/>
              <w:jc w:val="left"/>
              <w:rPr/>
            </w:pPr>
            <w:r>
              <w:rPr/>
              <w:t>)</w:t>
            </w:r>
            <w:bookmarkStart w:id="84" w:name="xdx_40E_eus-gaap--SellingGeneralAndAdmin"/>
            <w:bookmarkEnd w:id="84"/>
          </w:p>
        </w:tc>
      </w:tr>
      <w:tr>
        <w:trPr/>
        <w:tc>
          <w:tcPr>
            <w:tcW w:w="4610" w:type="dxa"/>
            <w:tcBorders/>
            <w:shd w:fill="CCEEFF" w:val="clear"/>
            <w:vAlign w:val="center"/>
          </w:tcPr>
          <w:p>
            <w:pPr>
              <w:pStyle w:val="TableContents"/>
              <w:bidi w:val="0"/>
              <w:spacing w:before="0" w:after="283"/>
              <w:jc w:val="left"/>
              <w:rPr/>
            </w:pPr>
            <w:r>
              <w:rPr/>
              <w:t>Sales,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(3,174</w:t>
            </w:r>
          </w:p>
        </w:tc>
        <w:tc>
          <w:tcPr>
            <w:tcW w:w="110" w:type="dxa"/>
            <w:tcBorders/>
            <w:shd w:fill="CCEEFF" w:val="clear"/>
            <w:vAlign w:val="center"/>
          </w:tcPr>
          <w:p>
            <w:pPr>
              <w:pStyle w:val="TableContents"/>
              <w:bidi w:val="0"/>
              <w:spacing w:before="0" w:after="283"/>
              <w:jc w:val="left"/>
              <w:rPr/>
            </w:pPr>
            <w:r>
              <w:rPr/>
              <w:t>)</w:t>
            </w:r>
            <w:bookmarkStart w:id="85" w:name="xdx_400_eus-gaap--OperatingIncomeLoss_iT"/>
            <w:bookmarkEnd w:id="85"/>
          </w:p>
        </w:tc>
      </w:tr>
      <w:tr>
        <w:trPr/>
        <w:tc>
          <w:tcPr>
            <w:tcW w:w="4610" w:type="dxa"/>
            <w:tcBorders/>
            <w:vAlign w:val="center"/>
          </w:tcPr>
          <w:p>
            <w:pPr>
              <w:pStyle w:val="TableContents"/>
              <w:bidi w:val="0"/>
              <w:spacing w:before="0" w:after="283"/>
              <w:jc w:val="left"/>
              <w:rPr/>
            </w:pPr>
            <w:r>
              <w:rPr/>
              <w:t>Operating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(6,744</w:t>
            </w:r>
          </w:p>
        </w:tc>
        <w:tc>
          <w:tcPr>
            <w:tcW w:w="110" w:type="dxa"/>
            <w:tcBorders/>
            <w:vAlign w:val="center"/>
          </w:tcPr>
          <w:p>
            <w:pPr>
              <w:pStyle w:val="TableContents"/>
              <w:bidi w:val="0"/>
              <w:spacing w:before="0" w:after="283"/>
              <w:jc w:val="left"/>
              <w:rPr/>
            </w:pPr>
            <w:r>
              <w:rPr/>
              <w:t>)</w:t>
            </w:r>
            <w:bookmarkStart w:id="86" w:name="xdx_406_eus-gaap--OtherNonoperatingIncom"/>
            <w:bookmarkEnd w:id="86"/>
          </w:p>
        </w:tc>
      </w:tr>
      <w:tr>
        <w:trPr/>
        <w:tc>
          <w:tcPr>
            <w:tcW w:w="4610" w:type="dxa"/>
            <w:tcBorders/>
            <w:shd w:fill="CCEEFF" w:val="clear"/>
            <w:vAlign w:val="center"/>
          </w:tcPr>
          <w:p>
            <w:pPr>
              <w:pStyle w:val="TableContents"/>
              <w:bidi w:val="0"/>
              <w:spacing w:before="0" w:after="283"/>
              <w:jc w:val="left"/>
              <w:rPr/>
            </w:pPr>
            <w:r>
              <w:rPr/>
              <w:t>Other income (see Note 3F)</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316</w:t>
            </w:r>
          </w:p>
        </w:tc>
        <w:tc>
          <w:tcPr>
            <w:tcW w:w="110" w:type="dxa"/>
            <w:tcBorders/>
            <w:shd w:fill="CCEEFF" w:val="clear"/>
            <w:vAlign w:val="center"/>
          </w:tcPr>
          <w:p>
            <w:pPr>
              <w:pStyle w:val="TableContents"/>
              <w:bidi w:val="0"/>
              <w:spacing w:before="0" w:after="283"/>
              <w:jc w:val="left"/>
              <w:rPr/>
            </w:pPr>
            <w:r>
              <w:rPr/>
              <w:t> </w:t>
            </w:r>
            <w:bookmarkStart w:id="87" w:name="xdx_40C_eus-gaap--InterestIncomeExpenseN"/>
            <w:bookmarkEnd w:id="87"/>
          </w:p>
        </w:tc>
      </w:tr>
      <w:tr>
        <w:trPr/>
        <w:tc>
          <w:tcPr>
            <w:tcW w:w="4610" w:type="dxa"/>
            <w:tcBorders/>
            <w:vAlign w:val="center"/>
          </w:tcPr>
          <w:p>
            <w:pPr>
              <w:pStyle w:val="TableContents"/>
              <w:bidi w:val="0"/>
              <w:spacing w:before="0" w:after="283"/>
              <w:jc w:val="left"/>
              <w:rPr/>
            </w:pPr>
            <w:r>
              <w:rPr/>
              <w:t>Financing income, net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561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1,210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327</w:t>
            </w:r>
          </w:p>
        </w:tc>
        <w:tc>
          <w:tcPr>
            <w:tcW w:w="110" w:type="dxa"/>
            <w:tcBorders/>
            <w:vAlign w:val="center"/>
          </w:tcPr>
          <w:p>
            <w:pPr>
              <w:pStyle w:val="TableContents"/>
              <w:bidi w:val="0"/>
              <w:spacing w:before="0" w:after="283"/>
              <w:jc w:val="left"/>
              <w:rPr/>
            </w:pPr>
            <w:r>
              <w:rPr/>
              <w:t> </w:t>
            </w:r>
            <w:bookmarkStart w:id="88" w:name="xdx_405_eus-gaap--NetIncomeLoss_iT_mtCzt"/>
            <w:bookmarkEnd w:id="88"/>
          </w:p>
        </w:tc>
      </w:tr>
      <w:tr>
        <w:trPr/>
        <w:tc>
          <w:tcPr>
            <w:tcW w:w="46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(6,101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9" w:name="xdx_900_eus-gaap--EarningsPerShareDilute"/>
            <w:bookmarkStart w:id="90" w:name="xdx_90D_eus-gaap--EarningsPerShareBasic_"/>
            <w:bookmarkEnd w:id="89"/>
            <w:bookmarkEnd w:id="90"/>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1" w:name="xdx_901_eus-gaap--EarningsPerShareDilute"/>
            <w:bookmarkStart w:id="92" w:name="xdx_90E_eus-gaap--EarningsPerShareBasic_"/>
            <w:bookmarkEnd w:id="91"/>
            <w:bookmarkEnd w:id="92"/>
            <w:r>
              <w:rPr/>
              <w:t>(0.10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 w:name="xdx_909_eus-gaap--EarningsPerShareDilute"/>
            <w:bookmarkStart w:id="94" w:name="xdx_908_eus-gaap--EarningsPerShareBasic_"/>
            <w:bookmarkEnd w:id="93"/>
            <w:bookmarkEnd w:id="94"/>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5" w:name="xdx_900_eus-gaap--EarningsPerShareDilute"/>
            <w:bookmarkStart w:id="96" w:name="xdx_902_eus-gaap--EarningsPerShareBasic_"/>
            <w:bookmarkEnd w:id="95"/>
            <w:bookmarkEnd w:id="96"/>
            <w:r>
              <w:rPr/>
              <w:t>(0.18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Basic and diluted weighted average common shares outstanding</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bookmarkStart w:id="97" w:name="xdx_90A_eus-gaap--WeightedAverageNumberO"/>
            <w:bookmarkStart w:id="98" w:name="xdx_90F_eus-gaap--WeightedAverageNumberO"/>
            <w:bookmarkEnd w:id="97"/>
            <w:bookmarkEnd w:id="98"/>
            <w:r>
              <w:rPr/>
              <w:t>67,163,613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bookmarkStart w:id="99" w:name="xdx_901_eus-gaap--WeightedAverageNumberO"/>
            <w:bookmarkStart w:id="100" w:name="xdx_903_eus-gaap--WeightedAverageNumberO"/>
            <w:bookmarkEnd w:id="99"/>
            <w:bookmarkEnd w:id="100"/>
            <w:r>
              <w:rPr/>
              <w:t>36,488,014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bookmarkStart w:id="101" w:name="xdx_90A_eus-gaap--WeightedAverageNumberO"/>
            <w:bookmarkStart w:id="102" w:name="xdx_902_eus-gaap--WeightedAverageNumberO"/>
            <w:bookmarkEnd w:id="101"/>
            <w:bookmarkEnd w:id="102"/>
            <w:r>
              <w:rPr/>
              <w:t>67,160,844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bookmarkStart w:id="103" w:name="xdx_905_eus-gaap--WeightedAverageNumberO"/>
            <w:bookmarkStart w:id="104" w:name="xdx_90D_eus-gaap--WeightedAverageNumberO"/>
            <w:bookmarkEnd w:id="103"/>
            <w:bookmarkEnd w:id="104"/>
            <w:r>
              <w:rPr/>
              <w:t>33,801,734</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05" w:name="a_003"/>
      <w:bookmarkEnd w:id="105"/>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3_114_pn3n3_zKEA62bkSR22"/>
      <w:bookmarkStart w:id="107" w:name="xdx_303_114_pn3n3_zKEA62bkSR22"/>
      <w:bookmarkEnd w:id="107"/>
    </w:p>
    <w:tbl>
      <w:tblPr>
        <w:tblW w:w="10205" w:type="dxa"/>
        <w:jc w:val="left"/>
        <w:tblInd w:w="0" w:type="dxa"/>
        <w:tblLayout w:type="fixed"/>
        <w:tblCellMar>
          <w:top w:w="0" w:type="dxa"/>
          <w:left w:w="0" w:type="dxa"/>
          <w:bottom w:w="0" w:type="dxa"/>
          <w:right w:w="0" w:type="dxa"/>
        </w:tblCellMar>
      </w:tblPr>
      <w:tblGrid>
        <w:gridCol w:w="3626"/>
        <w:gridCol w:w="60"/>
        <w:gridCol w:w="60"/>
        <w:gridCol w:w="1100"/>
        <w:gridCol w:w="60"/>
        <w:gridCol w:w="60"/>
        <w:gridCol w:w="231"/>
        <w:gridCol w:w="629"/>
        <w:gridCol w:w="60"/>
        <w:gridCol w:w="60"/>
        <w:gridCol w:w="163"/>
        <w:gridCol w:w="937"/>
        <w:gridCol w:w="60"/>
        <w:gridCol w:w="60"/>
        <w:gridCol w:w="214"/>
        <w:gridCol w:w="1156"/>
        <w:gridCol w:w="95"/>
        <w:gridCol w:w="60"/>
        <w:gridCol w:w="238"/>
        <w:gridCol w:w="1165"/>
        <w:gridCol w:w="111"/>
      </w:tblGrid>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4_us-gaap--StatementEquityComponen"/>
            <w:bookmarkEnd w:id="10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B5_us-gaap--StatementEquityComponen"/>
            <w:bookmarkEnd w:id="109"/>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E_us-gaap--StatementEquityComponen"/>
            <w:bookmarkEnd w:id="11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B5_ziZFwQWKBFpl"/>
            <w:bookmarkEnd w:id="111"/>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12" w:name="xdx_430_c20250101__20250331_eus-gaap--St"/>
            <w:bookmarkEnd w:id="112"/>
          </w:p>
        </w:tc>
      </w:tr>
      <w:tr>
        <w:trPr/>
        <w:tc>
          <w:tcPr>
            <w:tcW w:w="3626" w:type="dxa"/>
            <w:tcBorders/>
            <w:shd w:fill="CCEEFF" w:val="clear"/>
            <w:vAlign w:val="center"/>
          </w:tcPr>
          <w:p>
            <w:pPr>
              <w:pStyle w:val="TableContents"/>
              <w:bidi w:val="0"/>
              <w:spacing w:before="0" w:after="283"/>
              <w:jc w:val="left"/>
              <w:rPr/>
            </w:pPr>
            <w:r>
              <w:rPr/>
              <w:t>Balances, December 31, 2024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3" w:name="xdx_985_eus-gaap--SharesOutstanding_iS_p"/>
            <w:bookmarkEnd w:id="113"/>
          </w:p>
        </w:tc>
        <w:tc>
          <w:tcPr>
            <w:tcW w:w="1100" w:type="dxa"/>
            <w:tcBorders/>
            <w:shd w:fill="CCEEFF" w:val="clear"/>
            <w:vAlign w:val="center"/>
          </w:tcPr>
          <w:p>
            <w:pPr>
              <w:pStyle w:val="TableContents"/>
              <w:bidi w:val="0"/>
              <w:spacing w:before="0" w:after="283"/>
              <w:jc w:val="right"/>
              <w:rPr/>
            </w:pPr>
            <w:r>
              <w:rPr/>
              <w:t>19,399,513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94,279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(90,944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3,530</w:t>
            </w:r>
          </w:p>
        </w:tc>
        <w:tc>
          <w:tcPr>
            <w:tcW w:w="111" w:type="dxa"/>
            <w:tcBorders/>
            <w:shd w:fill="CCEEFF" w:val="clear"/>
            <w:vAlign w:val="center"/>
          </w:tcPr>
          <w:p>
            <w:pPr>
              <w:pStyle w:val="TableContents"/>
              <w:bidi w:val="0"/>
              <w:spacing w:before="0" w:after="283"/>
              <w:jc w:val="left"/>
              <w:rPr/>
            </w:pPr>
            <w:r>
              <w:rPr/>
              <w:t> </w:t>
            </w:r>
            <w:bookmarkStart w:id="114" w:name="xdx_401_eus-gaap--StockIssuedDuringPerio"/>
            <w:bookmarkEnd w:id="114"/>
          </w:p>
        </w:tc>
      </w:tr>
      <w:tr>
        <w:trPr/>
        <w:tc>
          <w:tcPr>
            <w:tcW w:w="3626" w:type="dxa"/>
            <w:tcBorders/>
            <w:vAlign w:val="center"/>
          </w:tcPr>
          <w:p>
            <w:pPr>
              <w:pStyle w:val="TableContents"/>
              <w:bidi w:val="0"/>
              <w:spacing w:before="0" w:after="283"/>
              <w:jc w:val="left"/>
              <w:rPr/>
            </w:pPr>
            <w:r>
              <w:rPr/>
              <w:t xml:space="preserve">Issuance of common stock and warrants, net </w:t>
            </w:r>
            <w:bookmarkStart w:id="115" w:name="xdx_F47_zsnMHgad9Lb7"/>
            <w:bookmarkEnd w:id="115"/>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98D_eus-gaap--StockIssuedDuringPerio"/>
            <w:bookmarkEnd w:id="116"/>
          </w:p>
        </w:tc>
        <w:tc>
          <w:tcPr>
            <w:tcW w:w="1100" w:type="dxa"/>
            <w:tcBorders/>
            <w:vAlign w:val="center"/>
          </w:tcPr>
          <w:p>
            <w:pPr>
              <w:pStyle w:val="TableContents"/>
              <w:bidi w:val="0"/>
              <w:spacing w:before="0" w:after="283"/>
              <w:jc w:val="right"/>
              <w:rPr/>
            </w:pPr>
            <w:r>
              <w:rPr/>
              <w:t>13,891,840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25,778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25,917</w:t>
            </w:r>
          </w:p>
        </w:tc>
        <w:tc>
          <w:tcPr>
            <w:tcW w:w="111" w:type="dxa"/>
            <w:tcBorders/>
            <w:vAlign w:val="center"/>
          </w:tcPr>
          <w:p>
            <w:pPr>
              <w:pStyle w:val="TableContents"/>
              <w:bidi w:val="0"/>
              <w:spacing w:before="0" w:after="283"/>
              <w:jc w:val="left"/>
              <w:rPr/>
            </w:pPr>
            <w:r>
              <w:rPr/>
              <w:t> </w:t>
            </w:r>
            <w:bookmarkStart w:id="117" w:name="xdx_406_eus-gaap--StockIssuedDuringPerio"/>
            <w:bookmarkEnd w:id="117"/>
          </w:p>
        </w:tc>
      </w:tr>
      <w:tr>
        <w:trPr/>
        <w:tc>
          <w:tcPr>
            <w:tcW w:w="3626" w:type="dxa"/>
            <w:tcBorders/>
            <w:shd w:fill="CCEEFF" w:val="clear"/>
            <w:vAlign w:val="center"/>
          </w:tcPr>
          <w:p>
            <w:pPr>
              <w:pStyle w:val="TableContents"/>
              <w:bidi w:val="0"/>
              <w:spacing w:before="0" w:after="283"/>
              <w:jc w:val="left"/>
              <w:rPr/>
            </w:pPr>
            <w:r>
              <w:rPr/>
              <w:t xml:space="preserve">Issuance of common stock under the at-the-market offering, net </w:t>
            </w:r>
            <w:bookmarkStart w:id="118" w:name="xdx_F4C_z5pKdg6pq3ta"/>
            <w:bookmarkEnd w:id="118"/>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 w:name="xdx_981_eus-gaap--StockIssuedDuringPerio"/>
            <w:bookmarkEnd w:id="119"/>
          </w:p>
        </w:tc>
        <w:tc>
          <w:tcPr>
            <w:tcW w:w="1100" w:type="dxa"/>
            <w:tcBorders/>
            <w:shd w:fill="CCEEFF" w:val="clear"/>
            <w:vAlign w:val="center"/>
          </w:tcPr>
          <w:p>
            <w:pPr>
              <w:pStyle w:val="TableContents"/>
              <w:bidi w:val="0"/>
              <w:spacing w:before="0" w:after="283"/>
              <w:jc w:val="right"/>
              <w:rPr/>
            </w:pPr>
            <w:r>
              <w:rPr/>
              <w:t>842,606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997</w:t>
            </w:r>
          </w:p>
        </w:tc>
        <w:tc>
          <w:tcPr>
            <w:tcW w:w="111" w:type="dxa"/>
            <w:tcBorders/>
            <w:shd w:fill="CCEEFF" w:val="clear"/>
            <w:vAlign w:val="center"/>
          </w:tcPr>
          <w:p>
            <w:pPr>
              <w:pStyle w:val="TableContents"/>
              <w:bidi w:val="0"/>
              <w:spacing w:before="0" w:after="283"/>
              <w:jc w:val="left"/>
              <w:rPr/>
            </w:pPr>
            <w:r>
              <w:rPr/>
              <w:t> </w:t>
            </w:r>
            <w:bookmarkStart w:id="120" w:name="xdx_40D_ecustom--StockIssuedDuringPeriod"/>
            <w:bookmarkEnd w:id="120"/>
          </w:p>
        </w:tc>
      </w:tr>
      <w:tr>
        <w:trPr/>
        <w:tc>
          <w:tcPr>
            <w:tcW w:w="3626" w:type="dxa"/>
            <w:tcBorders/>
            <w:vAlign w:val="center"/>
          </w:tcPr>
          <w:p>
            <w:pPr>
              <w:pStyle w:val="TableContents"/>
              <w:bidi w:val="0"/>
              <w:spacing w:before="0" w:after="283"/>
              <w:jc w:val="left"/>
              <w:rPr/>
            </w:pPr>
            <w:r>
              <w:rPr/>
              <w:t xml:space="preserve">Issuance of common stock upon exercise of warrants, net </w:t>
            </w:r>
            <w:bookmarkStart w:id="121" w:name="xdx_F43_zkgcOyJW0SEg"/>
            <w:bookmarkEnd w:id="121"/>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986_ecustom--StockIssuedDuringPeriod"/>
            <w:bookmarkEnd w:id="122"/>
          </w:p>
        </w:tc>
        <w:tc>
          <w:tcPr>
            <w:tcW w:w="1100" w:type="dxa"/>
            <w:tcBorders/>
            <w:vAlign w:val="center"/>
          </w:tcPr>
          <w:p>
            <w:pPr>
              <w:pStyle w:val="TableContents"/>
              <w:bidi w:val="0"/>
              <w:spacing w:before="0" w:after="283"/>
              <w:jc w:val="right"/>
              <w:rPr/>
            </w:pPr>
            <w:r>
              <w:rPr/>
              <w:t>610,517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852</w:t>
            </w:r>
          </w:p>
        </w:tc>
        <w:tc>
          <w:tcPr>
            <w:tcW w:w="111" w:type="dxa"/>
            <w:tcBorders/>
            <w:vAlign w:val="center"/>
          </w:tcPr>
          <w:p>
            <w:pPr>
              <w:pStyle w:val="TableContents"/>
              <w:bidi w:val="0"/>
              <w:spacing w:before="0" w:after="283"/>
              <w:jc w:val="left"/>
              <w:rPr/>
            </w:pPr>
            <w:r>
              <w:rPr/>
              <w:t> </w:t>
            </w:r>
            <w:bookmarkStart w:id="123" w:name="xdx_40B_eus-gaap--AdjustmentsToAdditiona"/>
            <w:bookmarkEnd w:id="123"/>
          </w:p>
        </w:tc>
      </w:tr>
      <w:tr>
        <w:trPr/>
        <w:tc>
          <w:tcPr>
            <w:tcW w:w="3626"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256</w:t>
            </w:r>
          </w:p>
        </w:tc>
        <w:tc>
          <w:tcPr>
            <w:tcW w:w="111" w:type="dxa"/>
            <w:tcBorders/>
            <w:shd w:fill="CCEEFF" w:val="clear"/>
            <w:vAlign w:val="center"/>
          </w:tcPr>
          <w:p>
            <w:pPr>
              <w:pStyle w:val="TableContents"/>
              <w:bidi w:val="0"/>
              <w:spacing w:before="0" w:after="283"/>
              <w:jc w:val="left"/>
              <w:rPr/>
            </w:pPr>
            <w:r>
              <w:rPr/>
              <w:t> </w:t>
            </w:r>
            <w:bookmarkStart w:id="124" w:name="xdx_409_eus-gaap--NetIncomeLoss_zpFtrst7"/>
            <w:bookmarkEnd w:id="124"/>
          </w:p>
        </w:tc>
      </w:tr>
      <w:tr>
        <w:trPr/>
        <w:tc>
          <w:tcPr>
            <w:tcW w:w="3626"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single" w:sz="8" w:space="0" w:color="000000"/>
            </w:tcBorders>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tcMar>
              <w:bottom w:w="28" w:type="dxa"/>
            </w:tcMar>
            <w:vAlign w:val="center"/>
          </w:tcPr>
          <w:p>
            <w:pPr>
              <w:pStyle w:val="TableContents"/>
              <w:bidi w:val="0"/>
              <w:spacing w:before="0" w:after="283"/>
              <w:jc w:val="right"/>
              <w:rPr/>
            </w:pPr>
            <w:r>
              <w:rPr/>
              <w:t>(2,601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tcMar>
              <w:bottom w:w="28" w:type="dxa"/>
            </w:tcMar>
            <w:vAlign w:val="center"/>
          </w:tcPr>
          <w:p>
            <w:pPr>
              <w:pStyle w:val="TableContents"/>
              <w:bidi w:val="0"/>
              <w:spacing w:before="0" w:after="283"/>
              <w:jc w:val="right"/>
              <w:rPr/>
            </w:pPr>
            <w:r>
              <w:rPr/>
              <w:t>(2,601</w:t>
            </w:r>
          </w:p>
        </w:tc>
        <w:tc>
          <w:tcPr>
            <w:tcW w:w="111" w:type="dxa"/>
            <w:tcBorders/>
            <w:vAlign w:val="center"/>
          </w:tcPr>
          <w:p>
            <w:pPr>
              <w:pStyle w:val="TableContents"/>
              <w:bidi w:val="0"/>
              <w:spacing w:before="0" w:after="283"/>
              <w:jc w:val="left"/>
              <w:rPr/>
            </w:pPr>
            <w:r>
              <w:rPr/>
              <w:t>)</w:t>
            </w:r>
            <w:bookmarkStart w:id="125" w:name="xdx_43E_c20250401__20250630_eus-gaap--St"/>
            <w:bookmarkEnd w:id="125"/>
          </w:p>
        </w:tc>
      </w:tr>
      <w:tr>
        <w:trPr/>
        <w:tc>
          <w:tcPr>
            <w:tcW w:w="3626" w:type="dxa"/>
            <w:tcBorders/>
            <w:shd w:fill="CCEEFF" w:val="clear"/>
            <w:vAlign w:val="center"/>
          </w:tcPr>
          <w:p>
            <w:pPr>
              <w:pStyle w:val="TableContents"/>
              <w:bidi w:val="0"/>
              <w:spacing w:before="0" w:after="283"/>
              <w:jc w:val="left"/>
              <w:rPr/>
            </w:pPr>
            <w:r>
              <w:rPr/>
              <w:t>Balances, March 31,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 w:name="xdx_988_eus-gaap--SharesOutstanding_iS_p"/>
            <w:bookmarkEnd w:id="12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34,744,476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122,148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(93,545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28,951</w:t>
            </w:r>
          </w:p>
        </w:tc>
        <w:tc>
          <w:tcPr>
            <w:tcW w:w="111" w:type="dxa"/>
            <w:tcBorders/>
            <w:shd w:fill="CCEEFF" w:val="clear"/>
            <w:vAlign w:val="center"/>
          </w:tcPr>
          <w:p>
            <w:pPr>
              <w:pStyle w:val="TableContents"/>
              <w:bidi w:val="0"/>
              <w:spacing w:before="0" w:after="283"/>
              <w:jc w:val="left"/>
              <w:rPr/>
            </w:pPr>
            <w:r>
              <w:rPr/>
              <w:t> </w:t>
            </w:r>
            <w:bookmarkStart w:id="127" w:name="xdx_401_eus-gaap--StockIssuedDuringPerio"/>
            <w:bookmarkEnd w:id="127"/>
          </w:p>
        </w:tc>
      </w:tr>
      <w:tr>
        <w:trPr/>
        <w:tc>
          <w:tcPr>
            <w:tcW w:w="3626" w:type="dxa"/>
            <w:tcBorders/>
            <w:vAlign w:val="center"/>
          </w:tcPr>
          <w:p>
            <w:pPr>
              <w:pStyle w:val="TableContents"/>
              <w:bidi w:val="0"/>
              <w:spacing w:before="0" w:after="283"/>
              <w:jc w:val="left"/>
              <w:rPr/>
            </w:pPr>
            <w:r>
              <w:rPr/>
              <w:t xml:space="preserve">Issuance of common stock upon exercise of warrants, net </w:t>
            </w:r>
            <w:bookmarkStart w:id="128" w:name="xdx_F4B_zj9krGXih8q"/>
            <w:bookmarkEnd w:id="128"/>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984_eus-gaap--StockIssuedDuringPerio"/>
            <w:bookmarkEnd w:id="129"/>
          </w:p>
        </w:tc>
        <w:tc>
          <w:tcPr>
            <w:tcW w:w="1100" w:type="dxa"/>
            <w:tcBorders/>
            <w:vAlign w:val="center"/>
          </w:tcPr>
          <w:p>
            <w:pPr>
              <w:pStyle w:val="TableContents"/>
              <w:bidi w:val="0"/>
              <w:spacing w:before="0" w:after="283"/>
              <w:jc w:val="right"/>
              <w:rPr/>
            </w:pPr>
            <w:r>
              <w:rPr/>
              <w:t>3,213,840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4,474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4,506</w:t>
            </w:r>
          </w:p>
        </w:tc>
        <w:tc>
          <w:tcPr>
            <w:tcW w:w="111" w:type="dxa"/>
            <w:tcBorders/>
            <w:vAlign w:val="center"/>
          </w:tcPr>
          <w:p>
            <w:pPr>
              <w:pStyle w:val="TableContents"/>
              <w:bidi w:val="0"/>
              <w:spacing w:before="0" w:after="283"/>
              <w:jc w:val="left"/>
              <w:rPr/>
            </w:pPr>
            <w:r>
              <w:rPr/>
              <w:t> </w:t>
            </w:r>
            <w:bookmarkStart w:id="130" w:name="xdx_406_eus-gaap--AdjustmentsToAdditiona"/>
            <w:bookmarkEnd w:id="130"/>
          </w:p>
        </w:tc>
      </w:tr>
      <w:tr>
        <w:trPr/>
        <w:tc>
          <w:tcPr>
            <w:tcW w:w="3626" w:type="dxa"/>
            <w:tcBorders/>
            <w:shd w:fill="CCEEFF" w:val="clear"/>
            <w:vAlign w:val="center"/>
          </w:tcPr>
          <w:p>
            <w:pPr>
              <w:pStyle w:val="TableContents"/>
              <w:bidi w:val="0"/>
              <w:spacing w:before="0" w:after="283"/>
              <w:jc w:val="left"/>
              <w:rPr/>
            </w:pPr>
            <w:r>
              <w:rPr/>
              <w:t xml:space="preserve">Shares pending issuance on exercise of warrants </w:t>
            </w:r>
            <w:bookmarkStart w:id="131" w:name="xdx_F45_zUQwzocfmQu3"/>
            <w:bookmarkEnd w:id="131"/>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163</w:t>
            </w:r>
          </w:p>
        </w:tc>
        <w:tc>
          <w:tcPr>
            <w:tcW w:w="111" w:type="dxa"/>
            <w:tcBorders/>
            <w:shd w:fill="CCEEFF" w:val="clear"/>
            <w:vAlign w:val="center"/>
          </w:tcPr>
          <w:p>
            <w:pPr>
              <w:pStyle w:val="TableContents"/>
              <w:bidi w:val="0"/>
              <w:spacing w:before="0" w:after="283"/>
              <w:jc w:val="left"/>
              <w:rPr/>
            </w:pPr>
            <w:r>
              <w:rPr/>
              <w:t> </w:t>
            </w:r>
            <w:bookmarkStart w:id="132" w:name="xdx_40B_eus-gaap--AdjustmentsToAdditiona"/>
            <w:bookmarkEnd w:id="132"/>
          </w:p>
        </w:tc>
      </w:tr>
      <w:tr>
        <w:trPr/>
        <w:tc>
          <w:tcPr>
            <w:tcW w:w="3626" w:type="dxa"/>
            <w:tcBorders/>
            <w:vAlign w:val="center"/>
          </w:tcPr>
          <w:p>
            <w:pPr>
              <w:pStyle w:val="TableContents"/>
              <w:bidi w:val="0"/>
              <w:spacing w:before="0" w:after="283"/>
              <w:jc w:val="left"/>
              <w:rPr/>
            </w:pPr>
            <w:r>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237</w:t>
            </w:r>
          </w:p>
        </w:tc>
        <w:tc>
          <w:tcPr>
            <w:tcW w:w="111" w:type="dxa"/>
            <w:tcBorders/>
            <w:vAlign w:val="center"/>
          </w:tcPr>
          <w:p>
            <w:pPr>
              <w:pStyle w:val="TableContents"/>
              <w:bidi w:val="0"/>
              <w:spacing w:before="0" w:after="283"/>
              <w:jc w:val="left"/>
              <w:rPr/>
            </w:pPr>
            <w:r>
              <w:rPr/>
              <w:t> </w:t>
            </w:r>
            <w:bookmarkStart w:id="133" w:name="xdx_409_eus-gaap--NetIncomeLoss_zaduAldt"/>
            <w:bookmarkEnd w:id="133"/>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111" w:type="dxa"/>
            <w:tcBorders/>
            <w:shd w:fill="CCEEFF" w:val="clear"/>
            <w:vAlign w:val="center"/>
          </w:tcPr>
          <w:p>
            <w:pPr>
              <w:pStyle w:val="TableContents"/>
              <w:bidi w:val="0"/>
              <w:spacing w:before="0" w:after="283"/>
              <w:jc w:val="left"/>
              <w:rPr/>
            </w:pPr>
            <w:r>
              <w:rPr/>
              <w:t>)</w:t>
            </w:r>
            <w:bookmarkStart w:id="134" w:name="xdx_43E_c20250401__20250630_eus-gaap--St"/>
            <w:bookmarkEnd w:id="134"/>
          </w:p>
        </w:tc>
      </w:tr>
      <w:tr>
        <w:trPr/>
        <w:tc>
          <w:tcPr>
            <w:tcW w:w="3626" w:type="dxa"/>
            <w:tcBorders/>
            <w:vAlign w:val="center"/>
          </w:tcPr>
          <w:p>
            <w:pPr>
              <w:pStyle w:val="TableContents"/>
              <w:bidi w:val="0"/>
              <w:spacing w:before="0" w:after="283"/>
              <w:jc w:val="left"/>
              <w:rPr/>
            </w:pPr>
            <w:r>
              <w:rPr/>
              <w:t>Balances, June 30, 2025 (Unaudited)</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bookmarkStart w:id="135" w:name="xdx_989_eus-gaap--SharesOutstanding_iE_p"/>
            <w:bookmarkEnd w:id="135"/>
          </w:p>
        </w:tc>
        <w:tc>
          <w:tcPr>
            <w:tcW w:w="1100" w:type="dxa"/>
            <w:tcBorders>
              <w:bottom w:val="double" w:sz="6" w:space="0" w:color="000000"/>
            </w:tcBorders>
            <w:tcMar>
              <w:bottom w:w="28" w:type="dxa"/>
            </w:tcMar>
            <w:vAlign w:val="center"/>
          </w:tcPr>
          <w:p>
            <w:pPr>
              <w:pStyle w:val="TableContents"/>
              <w:bidi w:val="0"/>
              <w:spacing w:before="0" w:after="283"/>
              <w:jc w:val="right"/>
              <w:rPr/>
            </w:pPr>
            <w:r>
              <w:rPr/>
              <w:t>37,958,316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6" w:space="0" w:color="000000"/>
            </w:tcBorders>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tcMar>
              <w:bottom w:w="28" w:type="dxa"/>
            </w:tcMar>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6" w:space="0" w:color="000000"/>
            </w:tcBorders>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tcMar>
              <w:bottom w:w="28" w:type="dxa"/>
            </w:tcMar>
            <w:vAlign w:val="center"/>
          </w:tcPr>
          <w:p>
            <w:pPr>
              <w:pStyle w:val="TableContents"/>
              <w:bidi w:val="0"/>
              <w:spacing w:before="0" w:after="283"/>
              <w:jc w:val="right"/>
              <w:rPr/>
            </w:pPr>
            <w:r>
              <w:rPr/>
              <w:t>127,022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double" w:sz="6" w:space="0" w:color="000000"/>
            </w:tcBorders>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tcMar>
              <w:bottom w:w="28" w:type="dxa"/>
            </w:tcMar>
            <w:vAlign w:val="center"/>
          </w:tcPr>
          <w:p>
            <w:pPr>
              <w:pStyle w:val="TableContents"/>
              <w:bidi w:val="0"/>
              <w:spacing w:before="0" w:after="283"/>
              <w:jc w:val="right"/>
              <w:rPr/>
            </w:pPr>
            <w:r>
              <w:rPr/>
              <w:t>(97,045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8" w:type="dxa"/>
            <w:tcBorders>
              <w:bottom w:val="double" w:sz="6" w:space="0" w:color="000000"/>
            </w:tcBorders>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tcMar>
              <w:bottom w:w="28" w:type="dxa"/>
            </w:tcMar>
            <w:vAlign w:val="center"/>
          </w:tcPr>
          <w:p>
            <w:pPr>
              <w:pStyle w:val="TableContents"/>
              <w:bidi w:val="0"/>
              <w:spacing w:before="0" w:after="283"/>
              <w:jc w:val="right"/>
              <w:rPr/>
            </w:pPr>
            <w:r>
              <w:rPr/>
              <w:t>30,357</w:t>
            </w:r>
          </w:p>
        </w:tc>
        <w:tc>
          <w:tcPr>
            <w:tcW w:w="111"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245"/>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6" w:name="xdx_F01_zP6K2UtYotqg"/>
            <w:bookmarkEnd w:id="136"/>
            <w:r>
              <w:rPr>
                <w:rFonts w:ascii="Times New Roman;Times;Serif" w:hAnsi="Times New Roman;Times;Serif"/>
                <w:b w:val="false"/>
                <w:i w:val="false"/>
                <w:caps w:val="false"/>
                <w:smallCaps w:val="false"/>
                <w:sz w:val="20"/>
              </w:rPr>
              <w:t>(1)</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7" w:name="xdx_F19_zowGMzx08IVg"/>
            <w:bookmarkEnd w:id="137"/>
            <w:r>
              <w:rPr>
                <w:rFonts w:ascii="Times New Roman;Times;Serif" w:hAnsi="Times New Roman;Times;Serif"/>
                <w:b w:val="false"/>
                <w:i w:val="false"/>
                <w:caps w:val="false"/>
                <w:smallCaps w:val="false"/>
                <w:sz w:val="20"/>
              </w:rPr>
              <w:t>Net of issuance costs in the amount of $</w:t>
            </w:r>
            <w:bookmarkStart w:id="138" w:name="xdx_90B_eus-gaap--PaymentsOfStockIssuanc"/>
            <w:bookmarkEnd w:id="138"/>
            <w:r>
              <w:rPr>
                <w:rFonts w:ascii="Times New Roman;Times;Serif" w:hAnsi="Times New Roman;Times;Serif"/>
                <w:b w:val="false"/>
                <w:i w:val="false"/>
                <w:caps w:val="false"/>
                <w:smallCaps w:val="false"/>
                <w:sz w:val="20"/>
              </w:rPr>
              <w:t>2,683.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9" w:name="xdx_F06_zM6z1zNaVgf8"/>
            <w:bookmarkEnd w:id="139"/>
            <w:r>
              <w:rPr>
                <w:rFonts w:ascii="Times New Roman;Times;Serif" w:hAnsi="Times New Roman;Times;Serif"/>
                <w:b w:val="false"/>
                <w:i w:val="false"/>
                <w:caps w:val="false"/>
                <w:smallCaps w:val="false"/>
                <w:sz w:val="20"/>
              </w:rPr>
              <w:t>(2)</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0" w:name="xdx_F14_zMW9UKZKY19h"/>
            <w:bookmarkEnd w:id="140"/>
            <w:r>
              <w:rPr>
                <w:rFonts w:ascii="Times New Roman;Times;Serif" w:hAnsi="Times New Roman;Times;Serif"/>
                <w:b w:val="false"/>
                <w:i w:val="false"/>
                <w:caps w:val="false"/>
                <w:smallCaps w:val="false"/>
                <w:sz w:val="20"/>
              </w:rPr>
              <w:t>Net of issuance costs in the amount of $</w:t>
            </w:r>
            <w:bookmarkStart w:id="141" w:name="xdx_908_eus-gaap--PaymentsOfStockIssuanc"/>
            <w:bookmarkEnd w:id="141"/>
            <w:r>
              <w:rPr>
                <w:rFonts w:ascii="Times New Roman;Times;Serif" w:hAnsi="Times New Roman;Times;Serif"/>
                <w:b w:val="false"/>
                <w:i w:val="false"/>
                <w:caps w:val="false"/>
                <w:smallCaps w:val="false"/>
                <w:sz w:val="20"/>
              </w:rPr>
              <w:t>65.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2" w:name="xdx_F06_znzJoRygQmA7"/>
            <w:bookmarkEnd w:id="142"/>
            <w:r>
              <w:rPr>
                <w:rFonts w:ascii="Times New Roman;Times;Serif" w:hAnsi="Times New Roman;Times;Serif"/>
                <w:b w:val="false"/>
                <w:i w:val="false"/>
                <w:caps w:val="false"/>
                <w:smallCaps w:val="false"/>
                <w:sz w:val="20"/>
              </w:rPr>
              <w:t>(3)</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3" w:name="xdx_F1A_zx3yjDY9jbEb"/>
            <w:bookmarkEnd w:id="143"/>
            <w:r>
              <w:rPr>
                <w:rFonts w:ascii="Times New Roman;Times;Serif" w:hAnsi="Times New Roman;Times;Serif"/>
                <w:b w:val="false"/>
                <w:i w:val="false"/>
                <w:caps w:val="false"/>
                <w:smallCaps w:val="false"/>
                <w:sz w:val="20"/>
              </w:rPr>
              <w:t>Net of issuance costs in the amount of $</w:t>
            </w:r>
            <w:bookmarkStart w:id="144" w:name="xdx_903_eus-gaap--PaymentsOfStockIssuanc"/>
            <w:bookmarkEnd w:id="144"/>
            <w:r>
              <w:rPr>
                <w:rFonts w:ascii="Times New Roman;Times;Serif" w:hAnsi="Times New Roman;Times;Serif"/>
                <w:b w:val="false"/>
                <w:i w:val="false"/>
                <w:caps w:val="false"/>
                <w:smallCaps w:val="false"/>
                <w:sz w:val="20"/>
              </w:rPr>
              <w:t>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5" w:name="xdx_F00_zx9YMNr8fQI8"/>
            <w:bookmarkEnd w:id="145"/>
            <w:r>
              <w:rPr>
                <w:rFonts w:ascii="Times New Roman;Times;Serif" w:hAnsi="Times New Roman;Times;Serif"/>
                <w:b w:val="false"/>
                <w:i w:val="false"/>
                <w:caps w:val="false"/>
                <w:smallCaps w:val="false"/>
                <w:sz w:val="20"/>
              </w:rPr>
              <w:t>(4)</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6" w:name="xdx_F10_zsYY6UOU0Ul3"/>
            <w:bookmarkEnd w:id="146"/>
            <w:r>
              <w:rPr>
                <w:rFonts w:ascii="Times New Roman;Times;Serif" w:hAnsi="Times New Roman;Times;Serif"/>
                <w:b w:val="false"/>
                <w:i w:val="false"/>
                <w:caps w:val="false"/>
                <w:smallCaps w:val="false"/>
                <w:sz w:val="20"/>
              </w:rPr>
              <w:t>Net of issuance costs in the amount of $</w:t>
            </w:r>
            <w:bookmarkStart w:id="147" w:name="xdx_906_eus-gaap--PaymentsOfStockIssuanc"/>
            <w:bookmarkEnd w:id="147"/>
            <w:r>
              <w:rPr>
                <w:rFonts w:ascii="Times New Roman;Times;Serif" w:hAnsi="Times New Roman;Times;Serif"/>
                <w:b w:val="false"/>
                <w:i w:val="false"/>
                <w:caps w:val="false"/>
                <w:smallCaps w:val="false"/>
                <w:sz w:val="20"/>
              </w:rPr>
              <w:t>340, of which $</w:t>
            </w:r>
            <w:bookmarkStart w:id="148" w:name="xdx_90B_ecustom--StockIssuanceCostsPayab"/>
            <w:bookmarkEnd w:id="148"/>
            <w:r>
              <w:rPr>
                <w:rFonts w:ascii="Times New Roman;Times;Serif" w:hAnsi="Times New Roman;Times;Serif"/>
                <w:b w:val="false"/>
                <w:i w:val="false"/>
                <w:caps w:val="false"/>
                <w:smallCaps w:val="false"/>
                <w:sz w:val="20"/>
              </w:rPr>
              <w:t>93 had not been paid as of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49" w:name="xdx_F05_zT1niiBJggH9"/>
            <w:bookmarkEnd w:id="149"/>
            <w:r>
              <w:rPr>
                <w:rFonts w:ascii="Times New Roman;Times;Serif" w:hAnsi="Times New Roman;Times;Serif"/>
                <w:b w:val="false"/>
                <w:i w:val="false"/>
                <w:caps w:val="false"/>
                <w:smallCaps w:val="false"/>
                <w:sz w:val="20"/>
              </w:rPr>
              <w:t>(5)</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0" w:name="xdx_F1B_zI7Ck08NOGH7"/>
            <w:bookmarkEnd w:id="150"/>
            <w:r>
              <w:rPr>
                <w:rFonts w:ascii="Times New Roman;Times;Serif" w:hAnsi="Times New Roman;Times;Serif"/>
                <w:b w:val="false"/>
                <w:i w:val="false"/>
                <w:caps w:val="false"/>
                <w:smallCaps w:val="false"/>
                <w:sz w:val="20"/>
              </w:rPr>
              <w:t>Net of issuance costs in the amount of $</w:t>
            </w:r>
            <w:bookmarkStart w:id="151" w:name="xdx_90A_eus-gaap--PaymentsOfStockIssuanc"/>
            <w:bookmarkEnd w:id="151"/>
            <w:r>
              <w:rPr>
                <w:rFonts w:ascii="Times New Roman;Times;Serif" w:hAnsi="Times New Roman;Times;Serif"/>
                <w:b w:val="false"/>
                <w:i w:val="false"/>
                <w:caps w:val="false"/>
                <w:smallCaps w:val="false"/>
                <w:sz w:val="20"/>
              </w:rPr>
              <w:t>12. See Note 4C.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6"/>
        <w:gridCol w:w="60"/>
        <w:gridCol w:w="60"/>
        <w:gridCol w:w="1100"/>
        <w:gridCol w:w="60"/>
        <w:gridCol w:w="60"/>
        <w:gridCol w:w="231"/>
        <w:gridCol w:w="629"/>
        <w:gridCol w:w="60"/>
        <w:gridCol w:w="60"/>
        <w:gridCol w:w="163"/>
        <w:gridCol w:w="937"/>
        <w:gridCol w:w="60"/>
        <w:gridCol w:w="60"/>
        <w:gridCol w:w="188"/>
        <w:gridCol w:w="1182"/>
        <w:gridCol w:w="95"/>
        <w:gridCol w:w="60"/>
        <w:gridCol w:w="238"/>
        <w:gridCol w:w="1165"/>
        <w:gridCol w:w="111"/>
      </w:tblGrid>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bookmarkStart w:id="152" w:name="xdx_433_c20260101__20260331_eus-gaap--St"/>
            <w:bookmarkEnd w:id="152"/>
          </w:p>
        </w:tc>
      </w:tr>
      <w:tr>
        <w:trPr/>
        <w:tc>
          <w:tcPr>
            <w:tcW w:w="3626" w:type="dxa"/>
            <w:tcBorders/>
            <w:shd w:fill="CCEEFF" w:val="clear"/>
            <w:vAlign w:val="center"/>
          </w:tcPr>
          <w:p>
            <w:pPr>
              <w:pStyle w:val="TableContents"/>
              <w:bidi w:val="0"/>
              <w:spacing w:before="0" w:after="283"/>
              <w:jc w:val="left"/>
              <w:rPr/>
            </w:pPr>
            <w:r>
              <w:rPr/>
              <w:t>Balances, December 31, 2025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3" w:name="xdx_985_eus-gaap--SharesOutstanding_iS_p"/>
            <w:bookmarkEnd w:id="153"/>
          </w:p>
        </w:tc>
        <w:tc>
          <w:tcPr>
            <w:tcW w:w="1100" w:type="dxa"/>
            <w:tcBorders/>
            <w:shd w:fill="CCEEFF" w:val="clear"/>
            <w:vAlign w:val="center"/>
          </w:tcPr>
          <w:p>
            <w:pPr>
              <w:pStyle w:val="TableContents"/>
              <w:bidi w:val="0"/>
              <w:spacing w:before="0" w:after="283"/>
              <w:jc w:val="right"/>
              <w:rPr/>
            </w:pPr>
            <w:r>
              <w:rPr/>
              <w:t>67,158,044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180,968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(104,086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77,554</w:t>
            </w:r>
          </w:p>
        </w:tc>
        <w:tc>
          <w:tcPr>
            <w:tcW w:w="111" w:type="dxa"/>
            <w:tcBorders/>
            <w:shd w:fill="CCEEFF" w:val="clear"/>
            <w:vAlign w:val="center"/>
          </w:tcPr>
          <w:p>
            <w:pPr>
              <w:pStyle w:val="TableContents"/>
              <w:bidi w:val="0"/>
              <w:spacing w:before="0" w:after="283"/>
              <w:jc w:val="left"/>
              <w:rPr/>
            </w:pPr>
            <w:r>
              <w:rPr/>
              <w:t> </w:t>
            </w:r>
            <w:bookmarkStart w:id="154" w:name="xdx_40B_eus-gaap--AdjustmentsToAdditiona"/>
            <w:bookmarkEnd w:id="154"/>
          </w:p>
        </w:tc>
      </w:tr>
      <w:tr>
        <w:trPr/>
        <w:tc>
          <w:tcPr>
            <w:tcW w:w="3626" w:type="dxa"/>
            <w:tcBorders/>
            <w:vAlign w:val="center"/>
          </w:tcPr>
          <w:p>
            <w:pPr>
              <w:pStyle w:val="TableContents"/>
              <w:bidi w:val="0"/>
              <w:spacing w:before="0" w:after="283"/>
              <w:jc w:val="left"/>
              <w:rPr/>
            </w:pPr>
            <w:r>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222</w:t>
            </w:r>
          </w:p>
        </w:tc>
        <w:tc>
          <w:tcPr>
            <w:tcW w:w="111" w:type="dxa"/>
            <w:tcBorders/>
            <w:vAlign w:val="center"/>
          </w:tcPr>
          <w:p>
            <w:pPr>
              <w:pStyle w:val="TableContents"/>
              <w:bidi w:val="0"/>
              <w:spacing w:before="0" w:after="283"/>
              <w:jc w:val="left"/>
              <w:rPr/>
            </w:pPr>
            <w:r>
              <w:rPr/>
              <w:t> </w:t>
            </w:r>
            <w:bookmarkStart w:id="155" w:name="xdx_409_eus-gaap--NetIncomeLoss_zYd5spiK"/>
            <w:bookmarkEnd w:id="155"/>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(3,671</w:t>
            </w:r>
          </w:p>
        </w:tc>
        <w:tc>
          <w:tcPr>
            <w:tcW w:w="111" w:type="dxa"/>
            <w:tcBorders/>
            <w:shd w:fill="CCEEFF" w:val="clear"/>
            <w:vAlign w:val="center"/>
          </w:tcPr>
          <w:p>
            <w:pPr>
              <w:pStyle w:val="TableContents"/>
              <w:bidi w:val="0"/>
              <w:spacing w:before="0" w:after="283"/>
              <w:jc w:val="left"/>
              <w:rPr/>
            </w:pPr>
            <w:r>
              <w:rPr/>
              <w:t>)</w:t>
            </w:r>
            <w:bookmarkStart w:id="156" w:name="xdx_437_c20260401__20260630_eus-gaap--St"/>
            <w:bookmarkEnd w:id="156"/>
          </w:p>
        </w:tc>
      </w:tr>
      <w:tr>
        <w:trPr/>
        <w:tc>
          <w:tcPr>
            <w:tcW w:w="3626" w:type="dxa"/>
            <w:tcBorders/>
            <w:vAlign w:val="center"/>
          </w:tcPr>
          <w:p>
            <w:pPr>
              <w:pStyle w:val="TableContents"/>
              <w:bidi w:val="0"/>
              <w:spacing w:before="0" w:after="283"/>
              <w:jc w:val="left"/>
              <w:rPr/>
            </w:pPr>
            <w:r>
              <w:rPr/>
              <w:t>Balances, March 31, 2026 (Unaudited)</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bookmarkStart w:id="157" w:name="xdx_98B_eus-gaap--SharesOutstanding_iS_p"/>
            <w:bookmarkEnd w:id="157"/>
          </w:p>
        </w:tc>
        <w:tc>
          <w:tcPr>
            <w:tcW w:w="1100" w:type="dxa"/>
            <w:tcBorders>
              <w:bottom w:val="single" w:sz="8" w:space="0" w:color="000000"/>
            </w:tcBorders>
            <w:tcMar>
              <w:bottom w:w="28" w:type="dxa"/>
            </w:tcMar>
            <w:vAlign w:val="center"/>
          </w:tcPr>
          <w:p>
            <w:pPr>
              <w:pStyle w:val="TableContents"/>
              <w:bidi w:val="0"/>
              <w:spacing w:before="0" w:after="283"/>
              <w:jc w:val="right"/>
              <w:rPr/>
            </w:pPr>
            <w:r>
              <w:rPr/>
              <w:t>67,158,044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right"/>
              <w:rPr/>
            </w:pPr>
            <w:r>
              <w:rPr/>
              <w:t>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tcMar>
              <w:bottom w:w="28" w:type="dxa"/>
            </w:tcMar>
            <w:vAlign w:val="center"/>
          </w:tcPr>
          <w:p>
            <w:pPr>
              <w:pStyle w:val="TableContents"/>
              <w:bidi w:val="0"/>
              <w:spacing w:before="0" w:after="283"/>
              <w:jc w:val="right"/>
              <w:rPr/>
            </w:pPr>
            <w:r>
              <w:rPr/>
              <w:t>181,190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tcMar>
              <w:bottom w:w="28" w:type="dxa"/>
            </w:tcMar>
            <w:vAlign w:val="center"/>
          </w:tcPr>
          <w:p>
            <w:pPr>
              <w:pStyle w:val="TableContents"/>
              <w:bidi w:val="0"/>
              <w:spacing w:before="0" w:after="283"/>
              <w:jc w:val="right"/>
              <w:rPr/>
            </w:pPr>
            <w:r>
              <w:rPr/>
              <w:t>(107,757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tcMar>
              <w:bottom w:w="28" w:type="dxa"/>
            </w:tcMar>
            <w:vAlign w:val="center"/>
          </w:tcPr>
          <w:p>
            <w:pPr>
              <w:pStyle w:val="TableContents"/>
              <w:bidi w:val="0"/>
              <w:spacing w:before="0" w:after="283"/>
              <w:jc w:val="right"/>
              <w:rPr/>
            </w:pPr>
            <w:r>
              <w:rPr/>
              <w:t>74,105</w:t>
            </w:r>
          </w:p>
        </w:tc>
        <w:tc>
          <w:tcPr>
            <w:tcW w:w="111" w:type="dxa"/>
            <w:tcBorders/>
            <w:vAlign w:val="center"/>
          </w:tcPr>
          <w:p>
            <w:pPr>
              <w:pStyle w:val="TableContents"/>
              <w:bidi w:val="0"/>
              <w:spacing w:before="0" w:after="283"/>
              <w:jc w:val="left"/>
              <w:rPr/>
            </w:pPr>
            <w:r>
              <w:rPr/>
              <w:t> </w:t>
            </w:r>
            <w:bookmarkStart w:id="158" w:name="xdx_406_eus-gaap--StockIssuedDuringPerio"/>
            <w:bookmarkEnd w:id="158"/>
          </w:p>
        </w:tc>
      </w:tr>
      <w:tr>
        <w:trPr/>
        <w:tc>
          <w:tcPr>
            <w:tcW w:w="3626" w:type="dxa"/>
            <w:tcBorders/>
            <w:shd w:fill="CCEEFF" w:val="clear"/>
            <w:vAlign w:val="center"/>
          </w:tcPr>
          <w:p>
            <w:pPr>
              <w:pStyle w:val="TableContents"/>
              <w:bidi w:val="0"/>
              <w:spacing w:before="0" w:after="283"/>
              <w:jc w:val="left"/>
              <w:rPr/>
            </w:pPr>
            <w:r>
              <w:rPr/>
              <w:t xml:space="preserve">Issuance of common stock under the at-the-market offering, net </w:t>
            </w:r>
            <w:bookmarkStart w:id="159" w:name="xdx_F42_zdODveFpRpxi"/>
            <w:bookmarkEnd w:id="159"/>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B_eus-gaap--StockIssuedDuringPerio"/>
            <w:bookmarkEnd w:id="160"/>
          </w:p>
        </w:tc>
        <w:tc>
          <w:tcPr>
            <w:tcW w:w="1100" w:type="dxa"/>
            <w:tcBorders/>
            <w:shd w:fill="CCEEFF" w:val="clear"/>
            <w:vAlign w:val="center"/>
          </w:tcPr>
          <w:p>
            <w:pPr>
              <w:pStyle w:val="TableContents"/>
              <w:bidi w:val="0"/>
              <w:spacing w:before="0" w:after="283"/>
              <w:jc w:val="right"/>
              <w:rPr/>
            </w:pPr>
            <w:r>
              <w:rPr/>
              <w:t>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16</w:t>
            </w:r>
          </w:p>
        </w:tc>
        <w:tc>
          <w:tcPr>
            <w:tcW w:w="111" w:type="dxa"/>
            <w:tcBorders/>
            <w:shd w:fill="CCEEFF" w:val="clear"/>
            <w:vAlign w:val="center"/>
          </w:tcPr>
          <w:p>
            <w:pPr>
              <w:pStyle w:val="TableContents"/>
              <w:bidi w:val="0"/>
              <w:spacing w:before="0" w:after="283"/>
              <w:jc w:val="left"/>
              <w:rPr/>
            </w:pPr>
            <w:r>
              <w:rPr/>
              <w:t> </w:t>
            </w:r>
            <w:bookmarkStart w:id="161" w:name="xdx_40B_eus-gaap--AdjustmentsToAdditiona"/>
            <w:bookmarkEnd w:id="161"/>
          </w:p>
        </w:tc>
      </w:tr>
      <w:tr>
        <w:trPr/>
        <w:tc>
          <w:tcPr>
            <w:tcW w:w="3626" w:type="dxa"/>
            <w:tcBorders/>
            <w:vAlign w:val="center"/>
          </w:tcPr>
          <w:p>
            <w:pPr>
              <w:pStyle w:val="TableContents"/>
              <w:bidi w:val="0"/>
              <w:spacing w:before="0" w:after="283"/>
              <w:jc w:val="left"/>
              <w:rPr/>
            </w:pPr>
            <w:r>
              <w:rPr/>
              <w:t>Share-based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433</w:t>
            </w:r>
          </w:p>
        </w:tc>
        <w:tc>
          <w:tcPr>
            <w:tcW w:w="111" w:type="dxa"/>
            <w:tcBorders/>
            <w:vAlign w:val="center"/>
          </w:tcPr>
          <w:p>
            <w:pPr>
              <w:pStyle w:val="TableContents"/>
              <w:bidi w:val="0"/>
              <w:spacing w:before="0" w:after="283"/>
              <w:jc w:val="left"/>
              <w:rPr/>
            </w:pPr>
            <w:r>
              <w:rPr/>
              <w:t> </w:t>
            </w:r>
            <w:bookmarkStart w:id="162" w:name="xdx_409_eus-gaap--NetIncomeLoss_zIuHQKBb"/>
            <w:bookmarkEnd w:id="162"/>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(5,627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(5,627</w:t>
            </w:r>
          </w:p>
        </w:tc>
        <w:tc>
          <w:tcPr>
            <w:tcW w:w="111" w:type="dxa"/>
            <w:tcBorders/>
            <w:shd w:fill="CCEEFF" w:val="clear"/>
            <w:vAlign w:val="center"/>
          </w:tcPr>
          <w:p>
            <w:pPr>
              <w:pStyle w:val="TableContents"/>
              <w:bidi w:val="0"/>
              <w:spacing w:before="0" w:after="283"/>
              <w:jc w:val="left"/>
              <w:rPr/>
            </w:pPr>
            <w:r>
              <w:rPr/>
              <w:t>)</w:t>
            </w:r>
            <w:bookmarkStart w:id="163" w:name="xdx_435_c20260401__20260630_eus-gaap--St"/>
            <w:bookmarkEnd w:id="163"/>
          </w:p>
        </w:tc>
      </w:tr>
      <w:tr>
        <w:trPr/>
        <w:tc>
          <w:tcPr>
            <w:tcW w:w="3626" w:type="dxa"/>
            <w:tcBorders/>
            <w:vAlign w:val="center"/>
          </w:tcPr>
          <w:p>
            <w:pPr>
              <w:pStyle w:val="TableContents"/>
              <w:bidi w:val="0"/>
              <w:spacing w:before="0" w:after="283"/>
              <w:jc w:val="left"/>
              <w:rPr/>
            </w:pPr>
            <w:r>
              <w:rPr/>
              <w:t>Balances, June 30, 2026 (Unaudited)</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bookmarkStart w:id="164" w:name="xdx_98B_eus-gaap--SharesOutstanding_iE_p"/>
            <w:bookmarkEnd w:id="164"/>
          </w:p>
        </w:tc>
        <w:tc>
          <w:tcPr>
            <w:tcW w:w="1100" w:type="dxa"/>
            <w:tcBorders>
              <w:bottom w:val="double" w:sz="6" w:space="0" w:color="000000"/>
            </w:tcBorders>
            <w:tcMar>
              <w:bottom w:w="28" w:type="dxa"/>
            </w:tcMar>
            <w:vAlign w:val="center"/>
          </w:tcPr>
          <w:p>
            <w:pPr>
              <w:pStyle w:val="TableContents"/>
              <w:bidi w:val="0"/>
              <w:spacing w:before="0" w:after="283"/>
              <w:jc w:val="right"/>
              <w:rPr/>
            </w:pPr>
            <w:r>
              <w:rPr/>
              <w:t>67,164,801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6" w:space="0" w:color="000000"/>
            </w:tcBorders>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tcMar>
              <w:bottom w:w="28" w:type="dxa"/>
            </w:tcMar>
            <w:vAlign w:val="center"/>
          </w:tcPr>
          <w:p>
            <w:pPr>
              <w:pStyle w:val="TableContents"/>
              <w:bidi w:val="0"/>
              <w:spacing w:before="0" w:after="283"/>
              <w:jc w:val="right"/>
              <w:rPr/>
            </w:pPr>
            <w:r>
              <w:rPr/>
              <w:t>672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6" w:space="0" w:color="000000"/>
            </w:tcBorders>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tcMar>
              <w:bottom w:w="28" w:type="dxa"/>
            </w:tcMar>
            <w:vAlign w:val="center"/>
          </w:tcPr>
          <w:p>
            <w:pPr>
              <w:pStyle w:val="TableContents"/>
              <w:bidi w:val="0"/>
              <w:spacing w:before="0" w:after="283"/>
              <w:jc w:val="right"/>
              <w:rPr/>
            </w:pPr>
            <w:r>
              <w:rPr/>
              <w:t>181,639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6" w:space="0" w:color="000000"/>
            </w:tcBorders>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tcMar>
              <w:bottom w:w="28" w:type="dxa"/>
            </w:tcMar>
            <w:vAlign w:val="center"/>
          </w:tcPr>
          <w:p>
            <w:pPr>
              <w:pStyle w:val="TableContents"/>
              <w:bidi w:val="0"/>
              <w:spacing w:before="0" w:after="283"/>
              <w:jc w:val="right"/>
              <w:rPr/>
            </w:pPr>
            <w:r>
              <w:rPr/>
              <w:t>(113,384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8" w:type="dxa"/>
            <w:tcBorders>
              <w:bottom w:val="double" w:sz="6" w:space="0" w:color="000000"/>
            </w:tcBorders>
            <w:tcMar>
              <w:bottom w:w="28" w:type="dxa"/>
            </w:tcMar>
            <w:vAlign w:val="center"/>
          </w:tcPr>
          <w:p>
            <w:pPr>
              <w:pStyle w:val="TableContents"/>
              <w:bidi w:val="0"/>
              <w:spacing w:before="0" w:after="283"/>
              <w:jc w:val="left"/>
              <w:rPr/>
            </w:pPr>
            <w:r>
              <w:rPr/>
              <w:t>$</w:t>
            </w:r>
          </w:p>
        </w:tc>
        <w:tc>
          <w:tcPr>
            <w:tcW w:w="1165" w:type="dxa"/>
            <w:tcBorders>
              <w:bottom w:val="double" w:sz="6" w:space="0" w:color="000000"/>
            </w:tcBorders>
            <w:tcMar>
              <w:bottom w:w="28" w:type="dxa"/>
            </w:tcMar>
            <w:vAlign w:val="center"/>
          </w:tcPr>
          <w:p>
            <w:pPr>
              <w:pStyle w:val="TableContents"/>
              <w:bidi w:val="0"/>
              <w:spacing w:before="0" w:after="283"/>
              <w:jc w:val="right"/>
              <w:rPr/>
            </w:pPr>
            <w:r>
              <w:rPr/>
              <w:t>68,927</w:t>
            </w:r>
          </w:p>
        </w:tc>
        <w:tc>
          <w:tcPr>
            <w:tcW w:w="111"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245"/>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5" w:name="xdx_F0E_z3lBBO92vPW9"/>
            <w:bookmarkEnd w:id="165"/>
            <w:r>
              <w:rPr>
                <w:rFonts w:ascii="Times New Roman;Times;Serif" w:hAnsi="Times New Roman;Times;Serif"/>
                <w:b w:val="false"/>
                <w:i w:val="false"/>
                <w:caps w:val="false"/>
                <w:smallCaps w:val="false"/>
                <w:sz w:val="20"/>
              </w:rPr>
              <w:t>(6)</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6" w:name="xdx_F13_zJeJihTnmDBb"/>
            <w:bookmarkEnd w:id="166"/>
            <w:r>
              <w:rPr>
                <w:rFonts w:ascii="Times New Roman;Times;Serif" w:hAnsi="Times New Roman;Times;Serif"/>
                <w:b w:val="false"/>
                <w:i w:val="false"/>
                <w:caps w:val="false"/>
                <w:smallCaps w:val="false"/>
                <w:sz w:val="20"/>
              </w:rPr>
              <w:t>Net of issuance costs in the amount of $</w:t>
            </w:r>
            <w:bookmarkStart w:id="167" w:name="xdx_90C_eus-gaap--PaymentsOfStockIssuanc"/>
            <w:bookmarkEnd w:id="167"/>
            <w:r>
              <w:rPr>
                <w:rFonts w:ascii="Times New Roman;Times;Serif" w:hAnsi="Times New Roman;Times;Serif"/>
                <w:b w:val="false"/>
                <w:i w:val="false"/>
                <w:caps w:val="false"/>
                <w:smallCaps w:val="false"/>
                <w:sz w:val="20"/>
              </w:rPr>
              <w:t>1. See Note 4G.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68" w:name="a_004"/>
      <w:bookmarkEnd w:id="168"/>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9" w:name="xdx_302_112_pn3n3_z3KuBpTStiG8"/>
      <w:bookmarkStart w:id="170" w:name="xdx_302_112_pn3n3_z3KuBpTStiG8"/>
      <w:bookmarkEnd w:id="170"/>
    </w:p>
    <w:tbl>
      <w:tblPr>
        <w:tblW w:w="10205" w:type="dxa"/>
        <w:jc w:val="left"/>
        <w:tblInd w:w="0" w:type="dxa"/>
        <w:tblLayout w:type="fixed"/>
        <w:tblCellMar>
          <w:top w:w="0" w:type="dxa"/>
          <w:left w:w="0" w:type="dxa"/>
          <w:bottom w:w="0" w:type="dxa"/>
          <w:right w:w="0" w:type="dxa"/>
        </w:tblCellMar>
      </w:tblPr>
      <w:tblGrid>
        <w:gridCol w:w="6600"/>
        <w:gridCol w:w="60"/>
        <w:gridCol w:w="260"/>
        <w:gridCol w:w="1321"/>
        <w:gridCol w:w="165"/>
        <w:gridCol w:w="104"/>
        <w:gridCol w:w="260"/>
        <w:gridCol w:w="1321"/>
        <w:gridCol w:w="114"/>
      </w:tblGrid>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93_20260101__20260630_ztJsGTHqt1o3"/>
            <w:bookmarkEnd w:id="171"/>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bookmarkStart w:id="172" w:name="xdx_493_20250101__20250630_zv72Q8XSKKA9"/>
            <w:bookmarkEnd w:id="172"/>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4"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vAlign w:val="center"/>
          </w:tcPr>
          <w:p>
            <w:pPr>
              <w:pStyle w:val="TableContents"/>
              <w:bidi w:val="0"/>
              <w:spacing w:before="0" w:after="283"/>
              <w:jc w:val="center"/>
              <w:rPr/>
            </w:pPr>
            <w:r>
              <w:rPr/>
              <w:t>Unaudited</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581" w:type="dxa"/>
            <w:gridSpan w:val="2"/>
            <w:tcBorders/>
            <w:vAlign w:val="center"/>
          </w:tcPr>
          <w:p>
            <w:pPr>
              <w:pStyle w:val="TableContents"/>
              <w:bidi w:val="0"/>
              <w:spacing w:before="0" w:after="283"/>
              <w:jc w:val="center"/>
              <w:rPr/>
            </w:pPr>
            <w:r>
              <w:rPr/>
              <w:t>Unaudited</w:t>
            </w:r>
          </w:p>
        </w:tc>
        <w:tc>
          <w:tcPr>
            <w:tcW w:w="114" w:type="dxa"/>
            <w:tcBorders/>
            <w:vAlign w:val="center"/>
          </w:tcPr>
          <w:p>
            <w:pPr>
              <w:pStyle w:val="TableContents"/>
              <w:bidi w:val="0"/>
              <w:spacing w:before="0" w:after="283"/>
              <w:jc w:val="left"/>
              <w:rPr/>
            </w:pPr>
            <w:r>
              <w:rPr/>
              <w:t> </w:t>
            </w:r>
            <w:bookmarkStart w:id="173" w:name="xdx_40E_eus-gaap--NetCashProvidedByUsedI"/>
            <w:bookmarkEnd w:id="173"/>
          </w:p>
        </w:tc>
      </w:tr>
      <w:tr>
        <w:trPr/>
        <w:tc>
          <w:tcPr>
            <w:tcW w:w="66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4" w:name="xdx_403_eus-gaap--NetIncomeLoss_i01_maCz"/>
            <w:bookmarkEnd w:id="174"/>
          </w:p>
        </w:tc>
      </w:tr>
      <w:tr>
        <w:trPr/>
        <w:tc>
          <w:tcPr>
            <w:tcW w:w="660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283"/>
              <w:jc w:val="right"/>
              <w:rPr/>
            </w:pPr>
            <w:r>
              <w:rPr/>
              <w:t>(9,298</w:t>
            </w:r>
          </w:p>
        </w:tc>
        <w:tc>
          <w:tcPr>
            <w:tcW w:w="16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321" w:type="dxa"/>
            <w:tcBorders/>
            <w:vAlign w:val="center"/>
          </w:tcPr>
          <w:p>
            <w:pPr>
              <w:pStyle w:val="TableContents"/>
              <w:bidi w:val="0"/>
              <w:spacing w:before="0" w:after="283"/>
              <w:jc w:val="right"/>
              <w:rPr/>
            </w:pPr>
            <w:r>
              <w:rPr/>
              <w:t>(6,101</w:t>
            </w:r>
          </w:p>
        </w:tc>
        <w:tc>
          <w:tcPr>
            <w:tcW w:w="114" w:type="dxa"/>
            <w:tcBorders/>
            <w:vAlign w:val="center"/>
          </w:tcPr>
          <w:p>
            <w:pPr>
              <w:pStyle w:val="TableContents"/>
              <w:bidi w:val="0"/>
              <w:spacing w:before="0" w:after="283"/>
              <w:jc w:val="left"/>
              <w:rPr/>
            </w:pPr>
            <w:r>
              <w:rPr/>
              <w:t>)</w:t>
            </w:r>
            <w:bookmarkStart w:id="175" w:name="xdx_406_eus-gaap--AdjustmentsToReconcile"/>
            <w:bookmarkEnd w:id="175"/>
          </w:p>
        </w:tc>
      </w:tr>
      <w:tr>
        <w:trPr/>
        <w:tc>
          <w:tcPr>
            <w:tcW w:w="6600" w:type="dxa"/>
            <w:tcBorders/>
            <w:shd w:fill="CCEEFF" w:val="clear"/>
            <w:vAlign w:val="center"/>
          </w:tcPr>
          <w:p>
            <w:pPr>
              <w:pStyle w:val="TableContents"/>
              <w:bidi w:val="0"/>
              <w:spacing w:before="0" w:after="283"/>
              <w:jc w:val="left"/>
              <w:rPr>
                <w:i/>
              </w:rPr>
            </w:pPr>
            <w:r>
              <w:rPr>
                <w:i/>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6" w:name="xdx_40D_eus-gaap--DepreciationDepletionA"/>
            <w:bookmarkEnd w:id="176"/>
          </w:p>
        </w:tc>
      </w:tr>
      <w:tr>
        <w:trPr/>
        <w:tc>
          <w:tcPr>
            <w:tcW w:w="6600" w:type="dxa"/>
            <w:tcBorders/>
            <w:vAlign w:val="center"/>
          </w:tcPr>
          <w:p>
            <w:pPr>
              <w:pStyle w:val="TableContents"/>
              <w:bidi w:val="0"/>
              <w:spacing w:before="0" w:after="283"/>
              <w:jc w:val="left"/>
              <w:rPr/>
            </w:pPr>
            <w:r>
              <w:rPr/>
              <w:t>Depreciation of property and equipment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27</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27</w:t>
            </w:r>
          </w:p>
        </w:tc>
        <w:tc>
          <w:tcPr>
            <w:tcW w:w="114" w:type="dxa"/>
            <w:tcBorders/>
            <w:vAlign w:val="center"/>
          </w:tcPr>
          <w:p>
            <w:pPr>
              <w:pStyle w:val="TableContents"/>
              <w:bidi w:val="0"/>
              <w:spacing w:before="0" w:after="283"/>
              <w:jc w:val="left"/>
              <w:rPr/>
            </w:pPr>
            <w:r>
              <w:rPr/>
              <w:t> </w:t>
            </w:r>
            <w:bookmarkStart w:id="177" w:name="xdx_406_eus-gaap--MarketableSecuritiesUn"/>
            <w:bookmarkEnd w:id="177"/>
          </w:p>
        </w:tc>
      </w:tr>
      <w:tr>
        <w:trPr/>
        <w:tc>
          <w:tcPr>
            <w:tcW w:w="6600" w:type="dxa"/>
            <w:tcBorders/>
            <w:shd w:fill="CCEEFF" w:val="clear"/>
            <w:vAlign w:val="center"/>
          </w:tcPr>
          <w:p>
            <w:pPr>
              <w:pStyle w:val="TableContents"/>
              <w:bidi w:val="0"/>
              <w:spacing w:before="0" w:after="283"/>
              <w:jc w:val="left"/>
              <w:rPr/>
            </w:pPr>
            <w:r>
              <w:rPr/>
              <w:t>Interest income and unrealized gains from marketable securities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(215</w:t>
            </w:r>
          </w:p>
        </w:tc>
        <w:tc>
          <w:tcPr>
            <w:tcW w:w="16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(119</w:t>
            </w:r>
          </w:p>
        </w:tc>
        <w:tc>
          <w:tcPr>
            <w:tcW w:w="114" w:type="dxa"/>
            <w:tcBorders/>
            <w:shd w:fill="CCEEFF" w:val="clear"/>
            <w:vAlign w:val="center"/>
          </w:tcPr>
          <w:p>
            <w:pPr>
              <w:pStyle w:val="TableContents"/>
              <w:bidi w:val="0"/>
              <w:spacing w:before="0" w:after="283"/>
              <w:jc w:val="left"/>
              <w:rPr/>
            </w:pPr>
            <w:r>
              <w:rPr/>
              <w:t>)</w:t>
            </w:r>
            <w:bookmarkStart w:id="178" w:name="xdx_403_eus-gaap--ShareBasedCompensation"/>
            <w:bookmarkEnd w:id="178"/>
          </w:p>
        </w:tc>
      </w:tr>
      <w:tr>
        <w:trPr/>
        <w:tc>
          <w:tcPr>
            <w:tcW w:w="6600" w:type="dxa"/>
            <w:tcBorders/>
            <w:vAlign w:val="center"/>
          </w:tcPr>
          <w:p>
            <w:pPr>
              <w:pStyle w:val="TableContents"/>
              <w:bidi w:val="0"/>
              <w:spacing w:before="0" w:after="283"/>
              <w:jc w:val="left"/>
              <w:rPr/>
            </w:pPr>
            <w:r>
              <w:rPr/>
              <w:t>Share-based compensation</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655</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493</w:t>
            </w:r>
          </w:p>
        </w:tc>
        <w:tc>
          <w:tcPr>
            <w:tcW w:w="114" w:type="dxa"/>
            <w:tcBorders/>
            <w:vAlign w:val="center"/>
          </w:tcPr>
          <w:p>
            <w:pPr>
              <w:pStyle w:val="TableContents"/>
              <w:bidi w:val="0"/>
              <w:spacing w:before="0" w:after="283"/>
              <w:jc w:val="left"/>
              <w:rPr/>
            </w:pPr>
            <w:r>
              <w:rPr/>
              <w:t> </w:t>
            </w:r>
            <w:bookmarkStart w:id="179" w:name="xdx_404_eus-gaap--IncreaseDecreaseInOper"/>
            <w:bookmarkEnd w:id="179"/>
          </w:p>
        </w:tc>
      </w:tr>
      <w:tr>
        <w:trPr/>
        <w:tc>
          <w:tcPr>
            <w:tcW w:w="6600" w:type="dxa"/>
            <w:tcBorders/>
            <w:shd w:fill="CCEEFF" w:val="clear"/>
            <w:vAlign w:val="center"/>
          </w:tcPr>
          <w:p>
            <w:pPr>
              <w:pStyle w:val="TableContents"/>
              <w:bidi w:val="0"/>
              <w:spacing w:before="0" w:after="283"/>
              <w:jc w:val="left"/>
              <w:rPr>
                <w:i/>
              </w:rPr>
            </w:pPr>
            <w:r>
              <w:rPr>
                <w:i/>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0" w:name="xdx_40A_eus-gaap--IncreaseDecreaseInAcco"/>
            <w:bookmarkEnd w:id="180"/>
          </w:p>
        </w:tc>
      </w:tr>
      <w:tr>
        <w:trPr/>
        <w:tc>
          <w:tcPr>
            <w:tcW w:w="6600"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(176</w:t>
            </w:r>
          </w:p>
        </w:tc>
        <w:tc>
          <w:tcPr>
            <w:tcW w:w="16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bookmarkStart w:id="181" w:name="xdx_403_eus-gaap--IncreaseDecreaseInInve"/>
            <w:bookmarkEnd w:id="181"/>
          </w:p>
        </w:tc>
      </w:tr>
      <w:tr>
        <w:trPr/>
        <w:tc>
          <w:tcPr>
            <w:tcW w:w="660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(2,323</w:t>
            </w:r>
          </w:p>
        </w:tc>
        <w:tc>
          <w:tcPr>
            <w:tcW w:w="16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82" w:name="xdx_402_eus-gaap--IncreaseDecreaseInPrep"/>
            <w:bookmarkEnd w:id="182"/>
          </w:p>
        </w:tc>
      </w:tr>
      <w:tr>
        <w:trPr/>
        <w:tc>
          <w:tcPr>
            <w:tcW w:w="6600" w:type="dxa"/>
            <w:tcBorders/>
            <w:vAlign w:val="center"/>
          </w:tcPr>
          <w:p>
            <w:pPr>
              <w:pStyle w:val="TableContents"/>
              <w:bidi w:val="0"/>
              <w:spacing w:before="0" w:after="283"/>
              <w:jc w:val="left"/>
              <w:rPr/>
            </w:pPr>
            <w:r>
              <w:rPr/>
              <w:t>Prepaid expenses and other assets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69</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161</w:t>
            </w:r>
          </w:p>
        </w:tc>
        <w:tc>
          <w:tcPr>
            <w:tcW w:w="114" w:type="dxa"/>
            <w:tcBorders/>
            <w:vAlign w:val="center"/>
          </w:tcPr>
          <w:p>
            <w:pPr>
              <w:pStyle w:val="TableContents"/>
              <w:bidi w:val="0"/>
              <w:spacing w:before="0" w:after="283"/>
              <w:jc w:val="left"/>
              <w:rPr/>
            </w:pPr>
            <w:r>
              <w:rPr/>
              <w:t> </w:t>
            </w:r>
            <w:bookmarkStart w:id="183" w:name="xdx_407_eus-gaap--IncreaseDecreaseInOthe"/>
            <w:bookmarkEnd w:id="183"/>
          </w:p>
        </w:tc>
      </w:tr>
      <w:tr>
        <w:trPr/>
        <w:tc>
          <w:tcPr>
            <w:tcW w:w="6600"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1,219</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92</w:t>
            </w:r>
          </w:p>
        </w:tc>
        <w:tc>
          <w:tcPr>
            <w:tcW w:w="114" w:type="dxa"/>
            <w:tcBorders/>
            <w:shd w:fill="CCEEFF" w:val="clear"/>
            <w:vAlign w:val="center"/>
          </w:tcPr>
          <w:p>
            <w:pPr>
              <w:pStyle w:val="TableContents"/>
              <w:bidi w:val="0"/>
              <w:spacing w:before="0" w:after="283"/>
              <w:jc w:val="left"/>
              <w:rPr/>
            </w:pPr>
            <w:r>
              <w:rPr/>
              <w:t> </w:t>
            </w:r>
            <w:bookmarkStart w:id="184" w:name="xdx_403_eus-gaap--NetCashProvidedByUsedI"/>
            <w:bookmarkEnd w:id="184"/>
          </w:p>
        </w:tc>
      </w:tr>
      <w:tr>
        <w:trPr/>
        <w:tc>
          <w:tcPr>
            <w:tcW w:w="6600" w:type="dxa"/>
            <w:tcBorders/>
            <w:vAlign w:val="center"/>
          </w:tcPr>
          <w:p>
            <w:pPr>
              <w:pStyle w:val="TableContents"/>
              <w:bidi w:val="0"/>
              <w:spacing w:before="0" w:after="283"/>
              <w:jc w:val="left"/>
              <w:rPr/>
            </w:pPr>
            <w:r>
              <w:rPr/>
              <w:t>Net cash flows used in operating activities</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(10,042</w:t>
            </w:r>
          </w:p>
        </w:tc>
        <w:tc>
          <w:tcPr>
            <w:tcW w:w="16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(5,447</w:t>
            </w:r>
          </w:p>
        </w:tc>
        <w:tc>
          <w:tcPr>
            <w:tcW w:w="114" w:type="dxa"/>
            <w:tcBorders/>
            <w:vAlign w:val="center"/>
          </w:tcPr>
          <w:p>
            <w:pPr>
              <w:pStyle w:val="TableContents"/>
              <w:bidi w:val="0"/>
              <w:spacing w:before="0" w:after="283"/>
              <w:jc w:val="left"/>
              <w:rPr/>
            </w:pPr>
            <w:r>
              <w:rPr/>
              <w:t>)</w:t>
            </w:r>
            <w:bookmarkStart w:id="185" w:name="xdx_407_eus-gaap--NetCashProvidedByUsedI"/>
            <w:bookmarkEnd w:id="185"/>
          </w:p>
        </w:tc>
      </w:tr>
      <w:tr>
        <w:trPr/>
        <w:tc>
          <w:tcPr>
            <w:tcW w:w="6600"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6" w:name="xdx_408_eus-gaap--PaymentsToAcquirePrope"/>
            <w:bookmarkEnd w:id="186"/>
          </w:p>
        </w:tc>
      </w:tr>
      <w:tr>
        <w:trPr/>
        <w:tc>
          <w:tcPr>
            <w:tcW w:w="6600" w:type="dxa"/>
            <w:tcBorders/>
            <w:vAlign w:val="center"/>
          </w:tcPr>
          <w:p>
            <w:pPr>
              <w:pStyle w:val="TableContents"/>
              <w:bidi w:val="0"/>
              <w:spacing w:before="0" w:after="283"/>
              <w:jc w:val="left"/>
              <w:rPr/>
            </w:pPr>
            <w:r>
              <w:rPr/>
              <w:t>Purchases of property and equipment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(250</w:t>
            </w:r>
          </w:p>
        </w:tc>
        <w:tc>
          <w:tcPr>
            <w:tcW w:w="16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(22</w:t>
            </w:r>
          </w:p>
        </w:tc>
        <w:tc>
          <w:tcPr>
            <w:tcW w:w="114" w:type="dxa"/>
            <w:tcBorders/>
            <w:vAlign w:val="center"/>
          </w:tcPr>
          <w:p>
            <w:pPr>
              <w:pStyle w:val="TableContents"/>
              <w:bidi w:val="0"/>
              <w:spacing w:before="0" w:after="283"/>
              <w:jc w:val="left"/>
              <w:rPr/>
            </w:pPr>
            <w:r>
              <w:rPr/>
              <w:t>)</w:t>
            </w:r>
            <w:bookmarkStart w:id="187" w:name="xdx_406_eus-gaap--PaymentsToAcquireMarke"/>
            <w:bookmarkEnd w:id="187"/>
          </w:p>
        </w:tc>
      </w:tr>
      <w:tr>
        <w:trPr/>
        <w:tc>
          <w:tcPr>
            <w:tcW w:w="6600" w:type="dxa"/>
            <w:tcBorders/>
            <w:shd w:fill="CCEEFF" w:val="clear"/>
            <w:vAlign w:val="center"/>
          </w:tcPr>
          <w:p>
            <w:pPr>
              <w:pStyle w:val="TableContents"/>
              <w:bidi w:val="0"/>
              <w:spacing w:before="0" w:after="283"/>
              <w:jc w:val="left"/>
              <w:rPr/>
            </w:pPr>
            <w:r>
              <w:rPr/>
              <w:t>Purchases of marketable securities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(1,070</w:t>
            </w:r>
          </w:p>
        </w:tc>
        <w:tc>
          <w:tcPr>
            <w:tcW w:w="16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(31,918</w:t>
            </w:r>
          </w:p>
        </w:tc>
        <w:tc>
          <w:tcPr>
            <w:tcW w:w="114" w:type="dxa"/>
            <w:tcBorders/>
            <w:shd w:fill="CCEEFF" w:val="clear"/>
            <w:vAlign w:val="center"/>
          </w:tcPr>
          <w:p>
            <w:pPr>
              <w:pStyle w:val="TableContents"/>
              <w:bidi w:val="0"/>
              <w:spacing w:before="0" w:after="283"/>
              <w:jc w:val="left"/>
              <w:rPr/>
            </w:pPr>
            <w:r>
              <w:rPr/>
              <w:t>)</w:t>
            </w:r>
            <w:bookmarkStart w:id="188" w:name="xdx_407_eus-gaap--ProceedsFromSaleAndMat"/>
            <w:bookmarkEnd w:id="188"/>
          </w:p>
        </w:tc>
      </w:tr>
      <w:tr>
        <w:trPr/>
        <w:tc>
          <w:tcPr>
            <w:tcW w:w="6600" w:type="dxa"/>
            <w:tcBorders/>
            <w:vAlign w:val="center"/>
          </w:tcPr>
          <w:p>
            <w:pPr>
              <w:pStyle w:val="TableContents"/>
              <w:bidi w:val="0"/>
              <w:spacing w:before="0" w:after="283"/>
              <w:jc w:val="left"/>
              <w:rPr/>
            </w:pPr>
            <w:r>
              <w:rPr/>
              <w:t>Proceeds from sales of marketable securities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11,750</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5,801</w:t>
            </w:r>
          </w:p>
        </w:tc>
        <w:tc>
          <w:tcPr>
            <w:tcW w:w="114" w:type="dxa"/>
            <w:tcBorders/>
            <w:vAlign w:val="center"/>
          </w:tcPr>
          <w:p>
            <w:pPr>
              <w:pStyle w:val="TableContents"/>
              <w:bidi w:val="0"/>
              <w:spacing w:before="0" w:after="283"/>
              <w:jc w:val="left"/>
              <w:rPr/>
            </w:pPr>
            <w:r>
              <w:rPr/>
              <w:t> </w:t>
            </w:r>
            <w:bookmarkStart w:id="189" w:name="xdx_40D_ecustom--PaymentsToIncreaseLongt"/>
            <w:bookmarkEnd w:id="189"/>
          </w:p>
        </w:tc>
      </w:tr>
      <w:tr>
        <w:trPr/>
        <w:tc>
          <w:tcPr>
            <w:tcW w:w="6600" w:type="dxa"/>
            <w:tcBorders/>
            <w:shd w:fill="CCEEFF" w:val="clear"/>
            <w:vAlign w:val="center"/>
          </w:tcPr>
          <w:p>
            <w:pPr>
              <w:pStyle w:val="TableContents"/>
              <w:bidi w:val="0"/>
              <w:spacing w:before="0" w:after="283"/>
              <w:jc w:val="left"/>
              <w:rPr/>
            </w:pPr>
            <w:r>
              <w:rPr/>
              <w:t>Increase in long-term deposit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(148</w:t>
            </w:r>
          </w:p>
        </w:tc>
        <w:tc>
          <w:tcPr>
            <w:tcW w:w="16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0" w:name="xdx_407_eus-gaap--PaymentsToAcquireRestr"/>
            <w:bookmarkEnd w:id="190"/>
          </w:p>
        </w:tc>
      </w:tr>
      <w:tr>
        <w:trPr/>
        <w:tc>
          <w:tcPr>
            <w:tcW w:w="6600" w:type="dxa"/>
            <w:tcBorders/>
            <w:vAlign w:val="center"/>
          </w:tcPr>
          <w:p>
            <w:pPr>
              <w:pStyle w:val="TableContents"/>
              <w:bidi w:val="0"/>
              <w:spacing w:before="0" w:after="283"/>
              <w:jc w:val="left"/>
              <w:rPr/>
            </w:pPr>
            <w:r>
              <w:rPr/>
              <w:t>Increase in restricted deposit</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(814</w:t>
            </w:r>
          </w:p>
        </w:tc>
        <w:tc>
          <w:tcPr>
            <w:tcW w:w="16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bookmarkStart w:id="191" w:name="xdx_401_eus-gaap--NetCashProvidedByUsedI"/>
            <w:bookmarkEnd w:id="191"/>
          </w:p>
        </w:tc>
      </w:tr>
      <w:tr>
        <w:trPr/>
        <w:tc>
          <w:tcPr>
            <w:tcW w:w="6600" w:type="dxa"/>
            <w:tcBorders/>
            <w:shd w:fill="CCEEFF" w:val="clear"/>
            <w:vAlign w:val="center"/>
          </w:tcPr>
          <w:p>
            <w:pPr>
              <w:pStyle w:val="TableContents"/>
              <w:bidi w:val="0"/>
              <w:spacing w:before="0" w:after="283"/>
              <w:jc w:val="left"/>
              <w:rPr/>
            </w:pPr>
            <w:r>
              <w:rPr/>
              <w:t>Net cash flows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9,468</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(26,139</w:t>
            </w:r>
          </w:p>
        </w:tc>
        <w:tc>
          <w:tcPr>
            <w:tcW w:w="114" w:type="dxa"/>
            <w:tcBorders/>
            <w:shd w:fill="CCEEFF" w:val="clear"/>
            <w:vAlign w:val="center"/>
          </w:tcPr>
          <w:p>
            <w:pPr>
              <w:pStyle w:val="TableContents"/>
              <w:bidi w:val="0"/>
              <w:spacing w:before="0" w:after="283"/>
              <w:jc w:val="left"/>
              <w:rPr/>
            </w:pPr>
            <w:r>
              <w:rPr/>
              <w:t>)</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192" w:name="xdx_402_eus-gaap--NetCashProvidedByUsedI"/>
            <w:bookmarkEnd w:id="192"/>
          </w:p>
        </w:tc>
      </w:tr>
      <w:tr>
        <w:trPr/>
        <w:tc>
          <w:tcPr>
            <w:tcW w:w="66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3" w:name="xdx_403_eus-gaap--ProceedsFromIssuanceOr"/>
            <w:bookmarkEnd w:id="193"/>
          </w:p>
        </w:tc>
      </w:tr>
      <w:tr>
        <w:trPr/>
        <w:tc>
          <w:tcPr>
            <w:tcW w:w="6600" w:type="dxa"/>
            <w:tcBorders/>
            <w:vAlign w:val="center"/>
          </w:tcPr>
          <w:p>
            <w:pPr>
              <w:pStyle w:val="TableContents"/>
              <w:bidi w:val="0"/>
              <w:spacing w:before="0" w:after="283"/>
              <w:jc w:val="left"/>
              <w:rPr/>
            </w:pPr>
            <w:r>
              <w:rPr/>
              <w:t>Issuance of common stock and warrants, net</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16</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32,558</w:t>
            </w:r>
          </w:p>
        </w:tc>
        <w:tc>
          <w:tcPr>
            <w:tcW w:w="114" w:type="dxa"/>
            <w:tcBorders/>
            <w:vAlign w:val="center"/>
          </w:tcPr>
          <w:p>
            <w:pPr>
              <w:pStyle w:val="TableContents"/>
              <w:bidi w:val="0"/>
              <w:spacing w:before="0" w:after="283"/>
              <w:jc w:val="left"/>
              <w:rPr/>
            </w:pPr>
            <w:r>
              <w:rPr/>
              <w:t> </w:t>
            </w:r>
            <w:bookmarkStart w:id="194" w:name="xdx_403_eus-gaap--NetCashProvidedByUsedI"/>
            <w:bookmarkEnd w:id="194"/>
          </w:p>
        </w:tc>
      </w:tr>
      <w:tr>
        <w:trPr/>
        <w:tc>
          <w:tcPr>
            <w:tcW w:w="6600"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CCEEFF" w:val="clear"/>
            <w:tcMar>
              <w:bottom w:w="28" w:type="dxa"/>
            </w:tcMar>
            <w:vAlign w:val="center"/>
          </w:tcPr>
          <w:p>
            <w:pPr>
              <w:pStyle w:val="TableContents"/>
              <w:bidi w:val="0"/>
              <w:spacing w:before="0" w:after="283"/>
              <w:jc w:val="right"/>
              <w:rPr/>
            </w:pPr>
            <w:r>
              <w:rPr/>
              <w:t>32,558</w:t>
            </w:r>
          </w:p>
        </w:tc>
        <w:tc>
          <w:tcPr>
            <w:tcW w:w="114" w:type="dxa"/>
            <w:tcBorders/>
            <w:shd w:fill="CCEEFF" w:val="clear"/>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195" w:name="xdx_40D_eus-gaap--CashCashEquivalentsRes"/>
            <w:bookmarkEnd w:id="195"/>
          </w:p>
        </w:tc>
      </w:tr>
      <w:tr>
        <w:trPr/>
        <w:tc>
          <w:tcPr>
            <w:tcW w:w="6600"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(558</w:t>
            </w:r>
          </w:p>
        </w:tc>
        <w:tc>
          <w:tcPr>
            <w:tcW w:w="16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972</w:t>
            </w:r>
          </w:p>
        </w:tc>
        <w:tc>
          <w:tcPr>
            <w:tcW w:w="114" w:type="dxa"/>
            <w:tcBorders/>
            <w:shd w:fill="CCEEFF" w:val="clear"/>
            <w:vAlign w:val="center"/>
          </w:tcPr>
          <w:p>
            <w:pPr>
              <w:pStyle w:val="TableContents"/>
              <w:bidi w:val="0"/>
              <w:spacing w:before="0" w:after="283"/>
              <w:jc w:val="left"/>
              <w:rPr/>
            </w:pPr>
            <w:r>
              <w:rPr/>
              <w:t> </w:t>
            </w:r>
            <w:bookmarkStart w:id="196" w:name="xdx_408_eus-gaap--CashCashEquivalentsRes"/>
            <w:bookmarkEnd w:id="196"/>
          </w:p>
        </w:tc>
      </w:tr>
      <w:tr>
        <w:trPr/>
        <w:tc>
          <w:tcPr>
            <w:tcW w:w="6600" w:type="dxa"/>
            <w:tcBorders/>
            <w:vAlign w:val="center"/>
          </w:tcPr>
          <w:p>
            <w:pPr>
              <w:pStyle w:val="TableContents"/>
              <w:bidi w:val="0"/>
              <w:spacing w:before="0" w:after="283"/>
              <w:jc w:val="left"/>
              <w:rPr/>
            </w:pPr>
            <w:r>
              <w:rPr/>
              <w:t>Cash, cash equivalents and restricted cash at beginning of period</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3,973</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3,163</w:t>
            </w:r>
          </w:p>
        </w:tc>
        <w:tc>
          <w:tcPr>
            <w:tcW w:w="114" w:type="dxa"/>
            <w:tcBorders/>
            <w:vAlign w:val="center"/>
          </w:tcPr>
          <w:p>
            <w:pPr>
              <w:pStyle w:val="TableContents"/>
              <w:bidi w:val="0"/>
              <w:spacing w:before="0" w:after="283"/>
              <w:jc w:val="left"/>
              <w:rPr/>
            </w:pPr>
            <w:r>
              <w:rPr/>
              <w:t> </w:t>
            </w:r>
            <w:bookmarkStart w:id="197" w:name="xdx_40E_eus-gaap--CashCashEquivalentsRes"/>
            <w:bookmarkEnd w:id="197"/>
          </w:p>
        </w:tc>
      </w:tr>
      <w:tr>
        <w:trPr/>
        <w:tc>
          <w:tcPr>
            <w:tcW w:w="660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3,415</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4,135</w:t>
            </w:r>
          </w:p>
        </w:tc>
        <w:tc>
          <w:tcPr>
            <w:tcW w:w="114" w:type="dxa"/>
            <w:tcBorders/>
            <w:shd w:fill="CCEEFF" w:val="clear"/>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198" w:name="xdx_407_eus-gaap--CashFlowNoncashInvesti"/>
            <w:bookmarkEnd w:id="198"/>
          </w:p>
        </w:tc>
      </w:tr>
      <w:tr>
        <w:trPr/>
        <w:tc>
          <w:tcPr>
            <w:tcW w:w="6600" w:type="dxa"/>
            <w:tcBorders/>
            <w:shd w:fill="CCEEFF" w:val="clear"/>
            <w:vAlign w:val="center"/>
          </w:tcPr>
          <w:p>
            <w:pPr>
              <w:pStyle w:val="TableContents"/>
              <w:bidi w:val="0"/>
              <w:spacing w:before="0" w:after="283"/>
              <w:jc w:val="left"/>
              <w:rPr>
                <w:u w:val="single"/>
              </w:rPr>
            </w:pPr>
            <w:r>
              <w:rPr>
                <w:u w:val="single"/>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 w:name="xdx_403_eus-gaap--RightOfUseAssetObtaine"/>
            <w:bookmarkEnd w:id="199"/>
          </w:p>
        </w:tc>
      </w:tr>
      <w:tr>
        <w:trPr/>
        <w:tc>
          <w:tcPr>
            <w:tcW w:w="6600" w:type="dxa"/>
            <w:tcBorders/>
            <w:vAlign w:val="center"/>
          </w:tcPr>
          <w:p>
            <w:pPr>
              <w:pStyle w:val="TableContents"/>
              <w:bidi w:val="0"/>
              <w:spacing w:before="0" w:after="283"/>
              <w:jc w:val="left"/>
              <w:rPr/>
            </w:pPr>
            <w:r>
              <w:rPr/>
              <w:t>Right-of-use assets obtained in exchange for lease liabilities</w:t>
            </w:r>
          </w:p>
        </w:tc>
        <w:tc>
          <w:tcPr>
            <w:tcW w:w="60" w:type="dxa"/>
            <w:tcBorders/>
            <w:vAlign w:val="center"/>
          </w:tcPr>
          <w:p>
            <w:pPr>
              <w:pStyle w:val="TableContents"/>
              <w:bidi w:val="0"/>
              <w:spacing w:before="0" w:after="283"/>
              <w:jc w:val="left"/>
              <w:rPr/>
            </w:pPr>
            <w:r>
              <w:rPr/>
              <w:t> </w:t>
            </w:r>
          </w:p>
        </w:tc>
        <w:tc>
          <w:tcPr>
            <w:tcW w:w="260" w:type="dxa"/>
            <w:tcBorders>
              <w:bottom w:val="double" w:sz="6" w:space="0" w:color="000000"/>
            </w:tcBorders>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tcMar>
              <w:bottom w:w="28" w:type="dxa"/>
            </w:tcMar>
            <w:vAlign w:val="center"/>
          </w:tcPr>
          <w:p>
            <w:pPr>
              <w:pStyle w:val="TableContents"/>
              <w:bidi w:val="0"/>
              <w:spacing w:before="0" w:after="283"/>
              <w:jc w:val="right"/>
              <w:rPr/>
            </w:pPr>
            <w:r>
              <w:rPr/>
              <w:t>101</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bottom w:val="double" w:sz="6" w:space="0" w:color="000000"/>
            </w:tcBorders>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tcMar>
              <w:bottom w:w="28" w:type="dxa"/>
            </w:tcMar>
            <w:vAlign w:val="center"/>
          </w:tcPr>
          <w:p>
            <w:pPr>
              <w:pStyle w:val="TableContents"/>
              <w:bidi w:val="0"/>
              <w:spacing w:before="0" w:after="283"/>
              <w:jc w:val="right"/>
              <w:rPr/>
            </w:pPr>
            <w:r>
              <w:rPr/>
              <w:t>89</w:t>
            </w:r>
          </w:p>
        </w:tc>
        <w:tc>
          <w:tcPr>
            <w:tcW w:w="114" w:type="dxa"/>
            <w:tcBorders/>
            <w:vAlign w:val="center"/>
          </w:tcPr>
          <w:p>
            <w:pPr>
              <w:pStyle w:val="TableContents"/>
              <w:bidi w:val="0"/>
              <w:spacing w:before="0" w:after="283"/>
              <w:jc w:val="left"/>
              <w:rPr/>
            </w:pPr>
            <w:r>
              <w:rPr/>
              <w:t> </w:t>
            </w:r>
            <w:bookmarkStart w:id="200" w:name="xdx_408_ecustom--IssuanceCostsNotPaid_i0"/>
            <w:bookmarkEnd w:id="200"/>
          </w:p>
        </w:tc>
      </w:tr>
      <w:tr>
        <w:trPr/>
        <w:tc>
          <w:tcPr>
            <w:tcW w:w="6600" w:type="dxa"/>
            <w:tcBorders/>
            <w:shd w:fill="CCEEFF" w:val="clear"/>
            <w:vAlign w:val="center"/>
          </w:tcPr>
          <w:p>
            <w:pPr>
              <w:pStyle w:val="TableContents"/>
              <w:bidi w:val="0"/>
              <w:spacing w:before="0" w:after="283"/>
              <w:jc w:val="left"/>
              <w:rPr/>
            </w:pPr>
            <w:r>
              <w:rPr/>
              <w:t>Issuance costs not paid</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93</w:t>
            </w:r>
          </w:p>
        </w:tc>
        <w:tc>
          <w:tcPr>
            <w:tcW w:w="114" w:type="dxa"/>
            <w:tcBorders/>
            <w:shd w:fill="CCEEFF" w:val="clear"/>
            <w:vAlign w:val="center"/>
          </w:tcPr>
          <w:p>
            <w:pPr>
              <w:pStyle w:val="TableContents"/>
              <w:bidi w:val="0"/>
              <w:spacing w:before="0" w:after="283"/>
              <w:jc w:val="left"/>
              <w:rPr/>
            </w:pPr>
            <w:r>
              <w:rPr/>
              <w:t> </w:t>
            </w:r>
            <w:bookmarkStart w:id="201" w:name="xdx_408_ecustom--DeferredIssuanceCosts_i"/>
            <w:bookmarkEnd w:id="201"/>
          </w:p>
        </w:tc>
      </w:tr>
      <w:tr>
        <w:trPr/>
        <w:tc>
          <w:tcPr>
            <w:tcW w:w="6600" w:type="dxa"/>
            <w:tcBorders/>
            <w:vAlign w:val="center"/>
          </w:tcPr>
          <w:p>
            <w:pPr>
              <w:pStyle w:val="TableContents"/>
              <w:bidi w:val="0"/>
              <w:spacing w:before="0" w:after="283"/>
              <w:jc w:val="left"/>
              <w:rPr/>
            </w:pPr>
            <w:r>
              <w:rPr/>
              <w:t>Deferred issuance costs</w:t>
            </w:r>
          </w:p>
        </w:tc>
        <w:tc>
          <w:tcPr>
            <w:tcW w:w="60" w:type="dxa"/>
            <w:tcBorders/>
            <w:vAlign w:val="center"/>
          </w:tcPr>
          <w:p>
            <w:pPr>
              <w:pStyle w:val="TableContents"/>
              <w:bidi w:val="0"/>
              <w:spacing w:before="0" w:after="283"/>
              <w:jc w:val="left"/>
              <w:rPr/>
            </w:pPr>
            <w:r>
              <w:rPr/>
              <w:t> </w:t>
            </w:r>
          </w:p>
        </w:tc>
        <w:tc>
          <w:tcPr>
            <w:tcW w:w="260" w:type="dxa"/>
            <w:tcBorders>
              <w:bottom w:val="double" w:sz="6" w:space="0" w:color="000000"/>
            </w:tcBorders>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tcMar>
              <w:bottom w:w="28" w:type="dxa"/>
            </w:tcMar>
            <w:vAlign w:val="center"/>
          </w:tcPr>
          <w:p>
            <w:pPr>
              <w:pStyle w:val="TableContents"/>
              <w:bidi w:val="0"/>
              <w:spacing w:before="0" w:after="283"/>
              <w:jc w:val="right"/>
              <w:rPr/>
            </w:pPr>
            <w:r>
              <w:rPr/>
              <w:t>-</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bottom w:val="double" w:sz="6" w:space="0" w:color="000000"/>
            </w:tcBorders>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tcMar>
              <w:bottom w:w="28" w:type="dxa"/>
            </w:tcMar>
            <w:vAlign w:val="center"/>
          </w:tcPr>
          <w:p>
            <w:pPr>
              <w:pStyle w:val="TableContents"/>
              <w:bidi w:val="0"/>
              <w:spacing w:before="0" w:after="283"/>
              <w:jc w:val="right"/>
              <w:rPr/>
            </w:pPr>
            <w:r>
              <w:rPr/>
              <w:t>30</w:t>
            </w:r>
          </w:p>
        </w:tc>
        <w:tc>
          <w:tcPr>
            <w:tcW w:w="114" w:type="dxa"/>
            <w:tcBorders/>
            <w:vAlign w:val="center"/>
          </w:tcPr>
          <w:p>
            <w:pPr>
              <w:pStyle w:val="TableContents"/>
              <w:bidi w:val="0"/>
              <w:spacing w:before="0" w:after="283"/>
              <w:jc w:val="left"/>
              <w:rPr/>
            </w:pPr>
            <w:r>
              <w:rPr/>
              <w:t> </w:t>
            </w:r>
          </w:p>
        </w:tc>
      </w:tr>
      <w:tr>
        <w:trPr/>
        <w:tc>
          <w:tcPr>
            <w:tcW w:w="6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02" w:name="xdx_409_eus-gaap--SupplementalCashFlowIn"/>
            <w:bookmarkEnd w:id="202"/>
          </w:p>
        </w:tc>
      </w:tr>
      <w:tr>
        <w:trPr/>
        <w:tc>
          <w:tcPr>
            <w:tcW w:w="6600" w:type="dxa"/>
            <w:tcBorders/>
            <w:vAlign w:val="center"/>
          </w:tcPr>
          <w:p>
            <w:pPr>
              <w:pStyle w:val="TableContents"/>
              <w:bidi w:val="0"/>
              <w:spacing w:before="0" w:after="283"/>
              <w:jc w:val="left"/>
              <w:rPr>
                <w:u w:val="single"/>
              </w:rPr>
            </w:pPr>
            <w:r>
              <w:rPr>
                <w:u w:val="single"/>
              </w:rPr>
              <w:t>Supplemental disclosure of cash flow information:</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203" w:name="xdx_409_eus-gaap--CashAndCashEquivalents"/>
            <w:bookmarkEnd w:id="203"/>
          </w:p>
        </w:tc>
      </w:tr>
      <w:tr>
        <w:trPr/>
        <w:tc>
          <w:tcPr>
            <w:tcW w:w="660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3,152</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4,082</w:t>
            </w:r>
          </w:p>
        </w:tc>
        <w:tc>
          <w:tcPr>
            <w:tcW w:w="114" w:type="dxa"/>
            <w:tcBorders/>
            <w:shd w:fill="CCEEFF" w:val="clear"/>
            <w:vAlign w:val="center"/>
          </w:tcPr>
          <w:p>
            <w:pPr>
              <w:pStyle w:val="TableContents"/>
              <w:bidi w:val="0"/>
              <w:spacing w:before="0" w:after="283"/>
              <w:jc w:val="left"/>
              <w:rPr/>
            </w:pPr>
            <w:r>
              <w:rPr/>
              <w:t> </w:t>
            </w:r>
            <w:bookmarkStart w:id="204" w:name="xdx_40D_eus-gaap--RestrictedCash_i01E_zX"/>
            <w:bookmarkEnd w:id="204"/>
          </w:p>
        </w:tc>
      </w:tr>
      <w:tr>
        <w:trPr/>
        <w:tc>
          <w:tcPr>
            <w:tcW w:w="6600" w:type="dxa"/>
            <w:tcBorders/>
            <w:vAlign w:val="center"/>
          </w:tcPr>
          <w:p>
            <w:pPr>
              <w:pStyle w:val="TableContents"/>
              <w:bidi w:val="0"/>
              <w:spacing w:before="0" w:after="283"/>
              <w:jc w:val="left"/>
              <w:rPr/>
            </w:pPr>
            <w:r>
              <w:rPr/>
              <w:t>Restricted cash</w:t>
            </w:r>
          </w:p>
        </w:tc>
        <w:tc>
          <w:tcPr>
            <w:tcW w:w="60"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263</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tcMar>
              <w:bottom w:w="28" w:type="dxa"/>
            </w:tcMar>
            <w:vAlign w:val="center"/>
          </w:tcPr>
          <w:p>
            <w:pPr>
              <w:pStyle w:val="TableContents"/>
              <w:bidi w:val="0"/>
              <w:spacing w:before="0" w:after="283"/>
              <w:jc w:val="right"/>
              <w:rPr/>
            </w:pPr>
            <w:r>
              <w:rPr/>
              <w:t>53</w:t>
            </w:r>
          </w:p>
        </w:tc>
        <w:tc>
          <w:tcPr>
            <w:tcW w:w="114" w:type="dxa"/>
            <w:tcBorders/>
            <w:vAlign w:val="center"/>
          </w:tcPr>
          <w:p>
            <w:pPr>
              <w:pStyle w:val="TableContents"/>
              <w:bidi w:val="0"/>
              <w:spacing w:before="0" w:after="283"/>
              <w:jc w:val="left"/>
              <w:rPr/>
            </w:pPr>
            <w:r>
              <w:rPr/>
              <w:t> </w:t>
            </w:r>
            <w:bookmarkStart w:id="205" w:name="xdx_40C_eus-gaap--CashCashEquivalentsRes"/>
            <w:bookmarkEnd w:id="205"/>
          </w:p>
        </w:tc>
      </w:tr>
      <w:tr>
        <w:trPr/>
        <w:tc>
          <w:tcPr>
            <w:tcW w:w="6600"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3,415</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4,135</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06" w:name="a_005"/>
      <w:bookmarkEnd w:id="206"/>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Interim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07" w:name="xdx_803_eus-gaap--NatureOfOperations_z3T"/>
      <w:bookmarkEnd w:id="207"/>
      <w:r>
        <w:rPr>
          <w:rFonts w:ascii="Times New Roman;Times;Serif" w:hAnsi="Times New Roman;Times;Serif"/>
          <w:b/>
          <w:i w:val="false"/>
          <w:caps w:val="false"/>
          <w:smallCaps w:val="false"/>
          <w:sz w:val="20"/>
        </w:rPr>
        <w:t xml:space="preserve">NOTE 1 – </w:t>
      </w:r>
      <w:bookmarkStart w:id="208" w:name="xdx_828_zIZBanIu9S95"/>
      <w:bookmarkEnd w:id="208"/>
      <w:r>
        <w:rPr>
          <w:rFonts w:ascii="Times New Roman;Times;Serif" w:hAnsi="Times New Roman;Times;Serif"/>
          <w:b/>
          <w:i w:val="false"/>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the Company has developed the first-ever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(“LIBERTY”)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Microbot Medical Ltd. (“Microbot Israel”), an Israeli corporation and wholly owned subsidiary of the Company, and Microbot Medical R.D.I Ltd (“Microbot RDI”), an Israeli corporation and wholly owned subsidiary of Microbot Israel, are sometimes collectively referred to herein as the “Company,” as the context may require.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equivalents and marketable securities balance of approximately $</w:t>
      </w:r>
      <w:bookmarkStart w:id="209" w:name="xdx_908_eus-gaap--CashCashEquivalentsAnd"/>
      <w:bookmarkEnd w:id="209"/>
      <w:r>
        <w:rPr>
          <w:rFonts w:ascii="Times New Roman;Times;Serif" w:hAnsi="Times New Roman;Times;Serif"/>
          <w:b w:val="false"/>
          <w:i w:val="false"/>
          <w:caps w:val="false"/>
          <w:smallCaps w:val="false"/>
          <w:sz w:val="20"/>
        </w:rPr>
        <w:t>67,367, excluding restricted cash. The Company expects to incur significant losses for the foreseeable future as it conducts manufacturing operations, sales and marketing activities for its current product and continues its research and development of any other future product candidates and all other work necessary to obtain regulatory clearances or approvals for its products or product candidates. Notwithstanding these conditions, the Company’s management has concluded that the available funds as of the balance sheet date are sufficient to fund the Company’s operations for more than twelve months from the issuance date of these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has commenced recognition of revenues, in the amount of $</w:t>
      </w:r>
      <w:bookmarkStart w:id="210" w:name="xdx_904_eus-gaap--RevenueFromContractWit"/>
      <w:bookmarkEnd w:id="210"/>
      <w:r>
        <w:rPr>
          <w:rFonts w:ascii="Times New Roman;Times;Serif" w:hAnsi="Times New Roman;Times;Serif"/>
          <w:b w:val="false"/>
          <w:i w:val="false"/>
          <w:caps w:val="false"/>
          <w:smallCaps w:val="false"/>
          <w:sz w:val="20"/>
        </w:rPr>
        <w:t>346. The Company cannot make any assurances of continuing to generate revenues, or of generating significant revenues,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seek to raise additional funds through future issuances of either debt and/or equity securities and possibly additional grants from the Israeli Innovation Authority and other government institutions in order to fund further growth and expansion of the Company.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 East Conflict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Israeli military operations at first in Gaza and then in Lebanon. Since that time, the hostilities have escalated into a regional armed conflict involving Iran, Israel, and the United States, including direct military operations and retaliatory actions, as well as engagement by Iran-supported groups across multiple fronts. These developments have included military activity in Syria following the collapse of the Assad regime and Israel’s subsequent military operations in Syria, intensified hostilities by and against the Houthis in Yemen, and continued exchanges involving Iranian-aligned forces throughout the region, including in Lebanon. This regional armed conflict and related hostilities remain ongoing as of the filing date of these consolidated financial statements. Although there have been temporary cease-fires and periods of reduced military activity from time to time, these have been limited in duration and scope and have not resulted in a sustained reduction in regional hostilities or overall security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these and other military operation and related matters,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may not be fully active and operational, as instructed by the relevant authorities or due to security conditions, workforce mobilization, or disruptions arising from expanded regional hostilities;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to international air travel and cargo transportation in and out of Israel, including the suspension or reduction of service by certain commercial airlines, flight cancellations, delays, increased costs, and logistical constraints;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policies in Gaza and the West Bank, the recent conflict with Iran and heightened regional geopolitical tensions;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and actual boycotts of Israel and Israeli-based companies, which may adversely affect the Company’s ability to do business in certain jurisdictions or with certain industry groups or potential customers, among others.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closely monitors how these and other military operations and related activities could adversely affect its anticipated milestones and its Israel-based activities to support future commercial, clinical and regulatory milestones, including the Company’s ability to import materials that are required to construct the LIBERTY devices and to ship them outside of Israel. In addition, the Company is also monitoring how negative international reaction to the events in Gaza, the West Bank and elsewhere in the Middle East or any further escalation of hostilities involving Iran could create a corresponding negative perception of companies based in Israel, which if broad enough, could negatively impact the Company’s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these consolidated financial statements, the Company has determined that there have not been any materially adverse effects on its business or operations as a result of the ongoing regional armed conflict involving Israel, Iran, and the United States. However, the Company continues to closely monitor the situation, as the current conflict remains fluid and subject to further escalation or expansion. Any material intensification or broadening of hostilities, including additional direct or indirect actions involving Iran or Iran-supported groups, the collapse of any cease-fire or de-escalation efforts, or other changes in the security environment could result in a material adverse effect on the ability of the Company’s Israeli office to support its clinical, regulatory, and other operational activities. The Company currently does not have any specific contingency plans in place in the event of any such escalation or change in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Unaudited Interim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generally accepted accounting principles in the United States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consolidated condensed financial statements should be read in conjunction with the Company’s latest audited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three and six-month period ended June 30, 2026, are not necessarily indicative of the results that may be expected for the year ending December 31, 2026.</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1" w:name="xdx_808_eus-gaap--SignificantAccountingP"/>
      <w:bookmarkEnd w:id="211"/>
      <w:r>
        <w:rPr>
          <w:rFonts w:ascii="Times New Roman;Times;Serif" w:hAnsi="Times New Roman;Times;Serif"/>
          <w:b/>
          <w:i w:val="false"/>
          <w:caps w:val="false"/>
          <w:smallCaps w:val="false"/>
          <w:sz w:val="20"/>
        </w:rPr>
        <w:t xml:space="preserve">NOTE 2 - </w:t>
      </w:r>
      <w:bookmarkStart w:id="212" w:name="xdx_825_zjC4ANcnDrp8"/>
      <w:bookmarkEnd w:id="212"/>
      <w:r>
        <w:rPr>
          <w:rFonts w:ascii="Times New Roman;Times;Serif" w:hAnsi="Times New Roman;Times;Serif"/>
          <w:b/>
          <w:i w:val="false"/>
          <w:caps w:val="false"/>
          <w:smallCaps w:val="false"/>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3" w:name="xdx_86D_zOYFsmVLZF48"/>
      <w:bookmarkStart w:id="214" w:name="xdx_846_eus-gaap--BasisOfAccountingPolic"/>
      <w:bookmarkEnd w:id="213"/>
      <w:bookmarkEnd w:id="214"/>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5" w:name="xdx_86E_zfi7GyqZTyBf"/>
      <w:bookmarkStart w:id="216" w:name="xdx_843_eus-gaap--UseOfEstimates_zDnL8oJ"/>
      <w:bookmarkEnd w:id="215"/>
      <w:bookmarkEnd w:id="216"/>
      <w:r>
        <w:rPr>
          <w:rFonts w:ascii="Times New Roman;Times;Serif" w:hAnsi="Times New Roman;Times;Serif"/>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7" w:name="xdx_86C_zSDHVipFS2n6"/>
      <w:bookmarkStart w:id="218" w:name="xdx_84B_eus-gaap--RevenueRecognitionPoli"/>
      <w:bookmarkEnd w:id="217"/>
      <w:bookmarkEnd w:id="218"/>
      <w:r>
        <w:rPr>
          <w:rFonts w:ascii="Times New Roman;Times;Serif" w:hAnsi="Times New Roman;Times;Serif"/>
          <w:b/>
          <w:i w:val="false"/>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derived from the sale of the LIBERTY devices.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as the amount of consideration we expect to be entitled to, in exchange for transferring products to our customers and is recognized when or as performance obligations under the terms of contracts with our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generally contain a single performance obligation, consisting with the promise to transfer the product to the customer.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point-in-time. It utilizes the core principle of recognizing revenue when the Company satisfies performance obligations as evidenced by the transfer of control of its products to the customer, which generally occurs upon delivery in accordance with the shipping terms specified in the contract.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accepts returns in accordance with its product warranty policy, as in effect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19" w:name="xdx_862_zi8iGY7NUbe8"/>
      <w:bookmarkStart w:id="220" w:name="xdx_843_ecustom--CostOfRevenuesPolicyTex"/>
      <w:bookmarkEnd w:id="219"/>
      <w:bookmarkEnd w:id="220"/>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direct and indirect costs related to the manufacturing of LIBERTY for commercial sale, including third-party manufacturing costs, freight, storage costs, royalties, and inventory write-downs.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21" w:name="xdx_869_zj1KV4giLua4"/>
      <w:bookmarkStart w:id="222" w:name="xdx_84C_eus-gaap--FairValueOfFinancialIn"/>
      <w:bookmarkEnd w:id="221"/>
      <w:bookmarkEnd w:id="222"/>
      <w:r>
        <w:rPr>
          <w:rFonts w:ascii="Times New Roman;Times;Serif" w:hAnsi="Times New Roman;Times;Serif"/>
          <w:b/>
          <w:i w:val="false"/>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restricted cash, prepaid expenses and other current assets, accounts payable and accrued liabilities approximate their fair value due to the short-term maturity of these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23" w:name="xdx_895_eus-gaap--ScheduleOfFairValueAss"/>
      <w:bookmarkEnd w:id="223"/>
      <w:r>
        <w:rPr>
          <w:rFonts w:ascii="Times New Roman;Times;Serif" w:hAnsi="Times New Roman;Times;Serif"/>
          <w:b w:val="false"/>
          <w:i w:val="false"/>
          <w:caps w:val="false"/>
          <w:smallCaps w:val="false"/>
          <w:sz w:val="20"/>
        </w:rPr>
        <w:t>The following tables summarizes the Company’s financial assets subject to fair value measurement and the level of inputs used in such measurements as of June 30, 2026, and December 31, 2025:</w:t>
      </w:r>
    </w:p>
    <w:p>
      <w:pPr>
        <w:pStyle w:val="TextBody"/>
        <w:bidi w:val="0"/>
        <w:spacing w:before="0" w:after="0"/>
        <w:jc w:val="both"/>
        <w:rPr>
          <w:caps w:val="false"/>
          <w:smallCaps w:val="false"/>
        </w:rPr>
      </w:pPr>
      <w:r>
        <w:rPr>
          <w:caps w:val="false"/>
          <w:smallCaps w:val="false"/>
        </w:rPr>
        <w:t> </w:t>
      </w:r>
      <w:bookmarkStart w:id="224" w:name="xdx_8B8_zkwTuwvgiEG"/>
      <w:bookmarkEnd w:id="224"/>
      <w:r>
        <w:rPr>
          <w:rFonts w:ascii="Times New Roman;Times;Serif" w:hAnsi="Times New Roman;Times;Serif"/>
          <w:b w:val="false"/>
          <w:i w:val="false"/>
          <w:caps w:val="false"/>
          <w:smallCaps w:val="false"/>
          <w:sz w:val="20"/>
        </w:rPr>
        <w:t>SCHEDULE OF FINANCIAL ASSETS SUBJECT TO FAIR VALUE MEASUREMENT</w:t>
      </w:r>
    </w:p>
    <w:tbl>
      <w:tblPr>
        <w:tblW w:w="6348" w:type="dxa"/>
        <w:jc w:val="left"/>
        <w:tblInd w:w="0" w:type="dxa"/>
        <w:tblLayout w:type="fixed"/>
        <w:tblCellMar>
          <w:top w:w="0" w:type="dxa"/>
          <w:left w:w="0" w:type="dxa"/>
          <w:bottom w:w="0" w:type="dxa"/>
          <w:right w:w="0" w:type="dxa"/>
        </w:tblCellMar>
      </w:tblPr>
      <w:tblGrid>
        <w:gridCol w:w="2705"/>
        <w:gridCol w:w="60"/>
        <w:gridCol w:w="140"/>
        <w:gridCol w:w="680"/>
        <w:gridCol w:w="60"/>
        <w:gridCol w:w="60"/>
        <w:gridCol w:w="140"/>
        <w:gridCol w:w="680"/>
        <w:gridCol w:w="60"/>
        <w:gridCol w:w="60"/>
        <w:gridCol w:w="449"/>
        <w:gridCol w:w="305"/>
        <w:gridCol w:w="60"/>
        <w:gridCol w:w="60"/>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5" w:name="xdx_496_20260630_zhoi1sRftMC3"/>
            <w:bookmarkEnd w:id="22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96_20260630__us-gaap--FairValueByFa"/>
            <w:bookmarkEnd w:id="22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7" w:name="xdx_49F_20260630__us-gaap--FairValueByFa"/>
            <w:bookmarkEnd w:id="227"/>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9A_20260630__us-gaap--FairValueByFa"/>
            <w:bookmarkEnd w:id="228"/>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9" w:name="xdx_407_eus-gaap--AssetsFairValueDisclos"/>
            <w:bookmarkEnd w:id="229"/>
          </w:p>
        </w:tc>
      </w:tr>
      <w:tr>
        <w:trPr/>
        <w:tc>
          <w:tcPr>
            <w:tcW w:w="2705" w:type="dxa"/>
            <w:tcBorders/>
            <w:vAlign w:val="center"/>
          </w:tcPr>
          <w:p>
            <w:pPr>
              <w:pStyle w:val="TableContents"/>
              <w:bidi w:val="0"/>
              <w:spacing w:before="0" w:after="283"/>
              <w:jc w:val="left"/>
              <w:rPr/>
            </w:pPr>
            <w:r>
              <w:rPr/>
              <w:t>Money market mutual funds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64,215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64,215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bookmarkStart w:id="230" w:name="xdx_406_eus-gaap--AssetsFairValueDisclos"/>
            <w:bookmarkEnd w:id="230"/>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40"/>
        <w:gridCol w:w="680"/>
        <w:gridCol w:w="60"/>
        <w:gridCol w:w="60"/>
        <w:gridCol w:w="140"/>
        <w:gridCol w:w="680"/>
        <w:gridCol w:w="60"/>
        <w:gridCol w:w="60"/>
        <w:gridCol w:w="449"/>
        <w:gridCol w:w="305"/>
        <w:gridCol w:w="60"/>
        <w:gridCol w:w="60"/>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31" w:name="xdx_497_20251231_zUiiuGaEnuB4"/>
            <w:bookmarkEnd w:id="231"/>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2" w:name="xdx_496_20251231__us-gaap--FairValueByFa"/>
            <w:bookmarkEnd w:id="23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3" w:name="xdx_496_20251231__us-gaap--FairValueByFa"/>
            <w:bookmarkEnd w:id="233"/>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4" w:name="xdx_498_20251231__us-gaap--FairValueByFa"/>
            <w:bookmarkEnd w:id="234"/>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35" w:name="xdx_407_eus-gaap--AssetsFairValueDisclos"/>
            <w:bookmarkEnd w:id="235"/>
          </w:p>
        </w:tc>
      </w:tr>
      <w:tr>
        <w:trPr/>
        <w:tc>
          <w:tcPr>
            <w:tcW w:w="2705" w:type="dxa"/>
            <w:tcBorders/>
            <w:vAlign w:val="center"/>
          </w:tcPr>
          <w:p>
            <w:pPr>
              <w:pStyle w:val="TableContents"/>
              <w:bidi w:val="0"/>
              <w:spacing w:before="0" w:after="283"/>
              <w:jc w:val="left"/>
              <w:rPr/>
            </w:pPr>
            <w:r>
              <w:rPr/>
              <w:t>Money market mutual funds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74,680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tcMar>
              <w:bottom w:w="28" w:type="dxa"/>
            </w:tcMar>
            <w:vAlign w:val="center"/>
          </w:tcPr>
          <w:p>
            <w:pPr>
              <w:pStyle w:val="TableContents"/>
              <w:bidi w:val="0"/>
              <w:spacing w:before="0" w:after="283"/>
              <w:jc w:val="right"/>
              <w:rPr/>
            </w:pPr>
            <w:r>
              <w:rPr/>
              <w:t>74,680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bookmarkStart w:id="236" w:name="xdx_406_eus-gaap--AssetsFairValueDisclos"/>
            <w:bookmarkEnd w:id="236"/>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74,680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37" w:name="xdx_8A2_zgR5v4ogVMId"/>
      <w:bookmarkEnd w:id="23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money market funds are classified as Level 1. Other than that, the Company doesn’t have any other financial assets or financial liabilities marked to market at fair value as of June 30, 2026 and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38" w:name="xdx_865_zO3JDw38vetg"/>
      <w:bookmarkStart w:id="239" w:name="xdx_847_eus-gaap--ShareBasedCompensation"/>
      <w:bookmarkEnd w:id="238"/>
      <w:bookmarkEnd w:id="239"/>
      <w:r>
        <w:rPr>
          <w:rFonts w:ascii="Times New Roman;Times;Serif" w:hAnsi="Times New Roman;Times;Serif"/>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no future services are required to be performed by the grantee in exchange for an award of equity instruments, and if such award does not contain a performance condition, the cost of the award is expensed on the grant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determination of each of the inputs can affect the fair value of the stock options granted and the results of operations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40" w:name="xdx_86F_zv8CtGZQoUVc"/>
      <w:bookmarkStart w:id="241" w:name="xdx_846_eus-gaap--NewAccountingPronounce"/>
      <w:bookmarkEnd w:id="240"/>
      <w:bookmarkEnd w:id="241"/>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Accounting Standards Update (ASU) 2024-03, Income Statement—Reporting Comprehensive Income—Expense Disaggregation Disclosures (Subtopic 220-40), Disaggregation of Income Statement Expenses. This update aims to enhance the transparency of financial reporting by requiring public business entities (PBEs) to provide disaggregated disclosure of certain income statement expense captions into specified categories in disclosures within the footnotes to the financial statements. The ASU is effective for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of adopting this ASU on its consolidated financial statements and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(“ASU 2025-11”). ASU 2025-11 clarifies the applicability of the interim reporting guidance, the types of interim reporting, and the form and content of interim financial statements in accordance with GAAP. The ASU is not intended to change the fundamental nature of interim reporting or expand or reduce current interim disclosure requirements but rather provide clarity and improve navigability of the existing interim reporting requirements. This guidance is effective for interim reporting periods within annual reporting periods beginning after December 15, 2027. Early adoption is permitted. The Company is currently evaluating the impact of ASU 2025-11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Accounting for Government Grants Received by Business Entities, to establish guidance on the recognition, measurement, presentation and disclosure requirements for government grants received by business entities, including guidance for grants related to an asset and grants related to income. ASU 2025-10 is effective for fiscal years beginning after December 15, 2028, and interim reporting periods within those annual reporting periods. The Company is currently evaluating the impact of this amendment on its Consolidated Financial Statements and related disclosures.</w:t>
      </w:r>
    </w:p>
    <w:p>
      <w:pPr>
        <w:pStyle w:val="TextBody"/>
        <w:bidi w:val="0"/>
        <w:spacing w:before="0" w:after="0"/>
        <w:jc w:val="both"/>
        <w:rPr>
          <w:caps w:val="false"/>
          <w:smallCaps w:val="false"/>
        </w:rPr>
      </w:pPr>
      <w:bookmarkStart w:id="242" w:name="xdx_857_zN8Zx9vwrTw4"/>
      <w:bookmarkEnd w:id="242"/>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43" w:name="xdx_800_eus-gaap--CommitmentsAndContinge"/>
      <w:bookmarkEnd w:id="243"/>
      <w:r>
        <w:rPr>
          <w:rFonts w:ascii="Times New Roman;Times;Serif" w:hAnsi="Times New Roman;Times;Serif"/>
          <w:b/>
          <w:i w:val="false"/>
          <w:caps w:val="false"/>
          <w:smallCaps w:val="false"/>
          <w:sz w:val="20"/>
        </w:rPr>
        <w:t xml:space="preserve">NOTE 3 - </w:t>
      </w:r>
      <w:bookmarkStart w:id="244" w:name="xdx_82D_z0usRvbisCQ9"/>
      <w:bookmarkEnd w:id="244"/>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IIA for participation in research and development since 2013 through June 30, 2026, totaling approximately $</w:t>
      </w:r>
      <w:bookmarkStart w:id="245" w:name="xdx_90E_eus-gaap--RevenueFromContractWit"/>
      <w:bookmarkEnd w:id="245"/>
      <w:r>
        <w:rPr>
          <w:rFonts w:ascii="Times New Roman;Times;Serif" w:hAnsi="Times New Roman;Times;Serif"/>
          <w:b w:val="false"/>
          <w:i w:val="false"/>
          <w:caps w:val="false"/>
          <w:smallCaps w:val="false"/>
          <w:sz w:val="20"/>
        </w:rPr>
        <w:t>2,468. This includes amounts received of approximately $</w:t>
      </w:r>
      <w:bookmarkStart w:id="246" w:name="xdx_900_eus-gaap--GrantsReceivable_iI_pn"/>
      <w:bookmarkEnd w:id="246"/>
      <w:r>
        <w:rPr>
          <w:rFonts w:ascii="Times New Roman;Times;Serif" w:hAnsi="Times New Roman;Times;Serif"/>
          <w:b w:val="false"/>
          <w:i w:val="false"/>
          <w:caps w:val="false"/>
          <w:smallCaps w:val="false"/>
          <w:sz w:val="20"/>
        </w:rPr>
        <w:t xml:space="preserve">518 in 2025, which is a portion of an additional grant from the IIA in the amount of approximately NIS </w:t>
      </w:r>
      <w:bookmarkStart w:id="247" w:name="xdx_902_ecustom--AdditionalGrantReceivab"/>
      <w:bookmarkEnd w:id="247"/>
      <w:r>
        <w:rPr>
          <w:rFonts w:ascii="Times New Roman;Times;Serif" w:hAnsi="Times New Roman;Times;Serif"/>
          <w:b w:val="false"/>
          <w:i w:val="false"/>
          <w:caps w:val="false"/>
          <w:smallCaps w:val="false"/>
          <w:sz w:val="20"/>
        </w:rPr>
        <w:t>2,153 (approximately $</w:t>
      </w:r>
      <w:bookmarkStart w:id="248" w:name="xdx_90F_ecustom--AdditionalGrantReceivab"/>
      <w:bookmarkEnd w:id="248"/>
      <w:r>
        <w:rPr>
          <w:rFonts w:ascii="Times New Roman;Times;Serif" w:hAnsi="Times New Roman;Times;Serif"/>
          <w:b w:val="false"/>
          <w:i w:val="false"/>
          <w:caps w:val="false"/>
          <w:smallCaps w:val="false"/>
          <w:sz w:val="20"/>
        </w:rPr>
        <w:t>673), which was approved by the IIA on July 15, 2025 to further finance the development of the manufacturing process of LIBERTY.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w:t>
      </w:r>
      <w:bookmarkStart w:id="249" w:name="xdx_90E_ecustom--RepaymentOfGovernmentGr"/>
      <w:bookmarkEnd w:id="249"/>
      <w:r>
        <w:rPr>
          <w:rFonts w:ascii="Times New Roman;Times;Serif" w:hAnsi="Times New Roman;Times;Serif"/>
          <w:b w:val="false"/>
          <w:i w:val="false"/>
          <w:caps w:val="false"/>
          <w:smallCaps w:val="false"/>
          <w:sz w:val="20"/>
        </w:rPr>
        <w:t>925.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relation to the IIA grants described above, the Company is obligated to pay royalties amounting to </w:t>
      </w:r>
      <w:bookmarkStart w:id="250" w:name="xdx_90C_ecustom--NetSalesRoyaltyPercenta"/>
      <w:bookmarkEnd w:id="250"/>
      <w:r>
        <w:rPr>
          <w:rFonts w:ascii="Times New Roman;Times;Serif" w:hAnsi="Times New Roman;Times;Serif"/>
          <w:b w:val="false"/>
          <w:i w:val="false"/>
          <w:caps w:val="false"/>
          <w:smallCaps w:val="false"/>
          <w:sz w:val="20"/>
        </w:rPr>
        <w:t xml:space="preserve">3.0% - </w:t>
      </w:r>
      <w:bookmarkStart w:id="251" w:name="xdx_90A_ecustom--NetSalesRoyaltyPercenta"/>
      <w:bookmarkEnd w:id="251"/>
      <w:r>
        <w:rPr>
          <w:rFonts w:ascii="Times New Roman;Times;Serif" w:hAnsi="Times New Roman;Times;Serif"/>
          <w:b w:val="false"/>
          <w:i w:val="false"/>
          <w:caps w:val="false"/>
          <w:smallCaps w:val="false"/>
          <w:sz w:val="20"/>
        </w:rPr>
        <w:t>5% of its future sales of the products relating to such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U.S dollar to the New Israeli Shekel and bears interest of SOFR per year (SOFR is a benchmark interest rate which replaced LIBOR).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received grants from the Ministry of Economy of the State of Israel in the amount of approximately $</w:t>
      </w:r>
      <w:bookmarkStart w:id="252" w:name="xdx_90D_eus-gaap--GrantsReceivable_iI_pn"/>
      <w:bookmarkEnd w:id="252"/>
      <w:r>
        <w:rPr>
          <w:rFonts w:ascii="Times New Roman;Times;Serif" w:hAnsi="Times New Roman;Times;Serif"/>
          <w:b w:val="false"/>
          <w:i w:val="false"/>
          <w:caps w:val="false"/>
          <w:smallCaps w:val="false"/>
          <w:sz w:val="20"/>
        </w:rPr>
        <w:t xml:space="preserve">50, to further finance the marketing activities of LIBERTY in the U.S. market. In relation to the Ministry of Economy grant, the Company is obligated to pay royalties amounting to </w:t>
      </w:r>
      <w:bookmarkStart w:id="253" w:name="xdx_907_ecustom--NetSalesRoyaltyPercenta"/>
      <w:bookmarkEnd w:id="253"/>
      <w:r>
        <w:rPr>
          <w:rFonts w:ascii="Times New Roman;Times;Serif" w:hAnsi="Times New Roman;Times;Serif"/>
          <w:b w:val="false"/>
          <w:i w:val="false"/>
          <w:caps w:val="false"/>
          <w:smallCaps w:val="false"/>
          <w:sz w:val="20"/>
        </w:rPr>
        <w:t>3% of future sales of LIBERTY up to the grant amount plus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Microbot Israel signed an agreement with the Technion Research and Development Foundation (“TRDF”) in June 2012 by which TRDF transferred to Microbot Israel a global, exclusive, royalty-bearing license (as amended, the “License Agreement”) with respect to its then Self-Cleaning Shunt (“SCS”) project and TipCat assets, which also governed certain technology relating to LIBERTY. As partial consideration for the license, Microbot Israel shall pay TRDF royalties on net sales (between </w:t>
      </w:r>
      <w:bookmarkStart w:id="254" w:name="xdx_90E_ecustom--NetSalesRoyaltyPercenta"/>
      <w:bookmarkEnd w:id="254"/>
      <w:r>
        <w:rPr>
          <w:rFonts w:ascii="Times New Roman;Times;Serif" w:hAnsi="Times New Roman;Times;Serif"/>
          <w:b w:val="false"/>
          <w:i w:val="false"/>
          <w:caps w:val="false"/>
          <w:smallCaps w:val="false"/>
          <w:sz w:val="20"/>
        </w:rPr>
        <w:t>1.5%-</w:t>
      </w:r>
      <w:bookmarkStart w:id="255" w:name="xdx_90F_ecustom--NetSalesRoyaltyPercenta"/>
      <w:bookmarkEnd w:id="255"/>
      <w:r>
        <w:rPr>
          <w:rFonts w:ascii="Times New Roman;Times;Serif" w:hAnsi="Times New Roman;Times;Serif"/>
          <w:b w:val="false"/>
          <w:i w:val="false"/>
          <w:caps w:val="false"/>
          <w:smallCaps w:val="false"/>
          <w:sz w:val="20"/>
        </w:rPr>
        <w:t>3.0%) and on sublicense income as detailed in the License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LIBERTY.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ATM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w:t>
      </w:r>
      <w:bookmarkStart w:id="256" w:name="xdx_90E_ecustom--OfferingCosts_iI_pn3n3_"/>
      <w:bookmarkEnd w:id="256"/>
      <w:r>
        <w:rPr>
          <w:rFonts w:ascii="Times New Roman;Times;Serif" w:hAnsi="Times New Roman;Times;Serif"/>
          <w:b w:val="false"/>
          <w:i w:val="false"/>
          <w:caps w:val="false"/>
          <w:smallCaps w:val="false"/>
          <w:sz w:val="20"/>
        </w:rPr>
        <w:t>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w:t>
      </w:r>
      <w:bookmarkStart w:id="257" w:name="xdx_904_eus-gaap--SaleOfStockConsiderati"/>
      <w:bookmarkEnd w:id="257"/>
      <w:r>
        <w:rPr>
          <w:rFonts w:ascii="Times New Roman;Times;Serif" w:hAnsi="Times New Roman;Times;Serif"/>
          <w:b w:val="false"/>
          <w:i w:val="false"/>
          <w:caps w:val="false"/>
          <w:smallCaps w:val="false"/>
          <w:sz w:val="20"/>
        </w:rPr>
        <w:t xml:space="preserve">4,820 from time to time through Wainwright, acting as sales agent. The compensation to Wainwright for sales of the shares is a placement fee of </w:t>
      </w:r>
      <w:bookmarkStart w:id="258" w:name="xdx_902_ecustom--PlacementFeePercent_pid"/>
      <w:bookmarkEnd w:id="258"/>
      <w:r>
        <w:rPr>
          <w:rFonts w:ascii="Times New Roman;Times;Serif" w:hAnsi="Times New Roman;Times;Serif"/>
          <w:b w:val="false"/>
          <w:i w:val="false"/>
          <w:caps w:val="false"/>
          <w:smallCaps w:val="false"/>
          <w:sz w:val="20"/>
        </w:rPr>
        <w:t>3.0% of the gross sales price of the shares of common stock sold pursuant to this ATM Agreement. See also Note 4C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Engagement letters with H.C. Wainwright: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the Company entered into engagement letters (the “Engagement Letters”) with Wainwright on October 3, 2022, on May 16, 2023, on October 24, 2023, and on May 29, 2024 (which was amended most recently on February 9, 2025), pursuant to which Wainwright agreed to serve as the exclusive placement agent for the issuance and sale of securities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compensation for such placement agent services, the Company has agreed to pay Wainwright an aggregate cash fee equal to </w:t>
      </w:r>
      <w:bookmarkStart w:id="259" w:name="xdx_906_ecustom--GrossProceedsFromCashFe"/>
      <w:bookmarkEnd w:id="259"/>
      <w:r>
        <w:rPr>
          <w:rFonts w:ascii="Times New Roman;Times;Serif" w:hAnsi="Times New Roman;Times;Serif"/>
          <w:b w:val="false"/>
          <w:i w:val="false"/>
          <w:caps w:val="false"/>
          <w:smallCaps w:val="false"/>
          <w:sz w:val="20"/>
        </w:rPr>
        <w:t xml:space="preserve">7.0% of the gross proceeds received by the Company from offerings contemplated by the Engagement Letters, plus in certain circumstances a management fee equal to </w:t>
      </w:r>
      <w:bookmarkStart w:id="260" w:name="xdx_904_ecustom--GrossProceedsFromManage"/>
      <w:bookmarkEnd w:id="260"/>
      <w:r>
        <w:rPr>
          <w:rFonts w:ascii="Times New Roman;Times;Serif" w:hAnsi="Times New Roman;Times;Serif"/>
          <w:b w:val="false"/>
          <w:i w:val="false"/>
          <w:caps w:val="false"/>
          <w:smallCaps w:val="false"/>
          <w:sz w:val="20"/>
        </w:rPr>
        <w:t xml:space="preserve">1.0% of the gross proceeds received by the Company from such offerings as well as other reimbursable expenses. </w:t>
      </w:r>
      <w:bookmarkStart w:id="261" w:name="xdx_902_eus-gaap--ClassOfWarrantOrRightR"/>
      <w:bookmarkEnd w:id="261"/>
      <w:r>
        <w:rPr>
          <w:rFonts w:ascii="Times New Roman;Times;Serif" w:hAnsi="Times New Roman;Times;Serif"/>
          <w:b w:val="false"/>
          <w:i w:val="false"/>
          <w:caps w:val="false"/>
          <w:smallCaps w:val="false"/>
          <w:sz w:val="20"/>
        </w:rPr>
        <w:t>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 See also Note 4A and 4D.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Acquisition of Nitiloop’s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w:t>
      </w:r>
      <w:bookmarkStart w:id="262" w:name="xdx_900_eus-gaap--StockIssuedDuringPerio"/>
      <w:bookmarkEnd w:id="262"/>
      <w:r>
        <w:rPr>
          <w:rFonts w:ascii="Times New Roman;Times;Serif" w:hAnsi="Times New Roman;Times;Serif"/>
          <w:b w:val="false"/>
          <w:i w:val="false"/>
          <w:caps w:val="false"/>
          <w:smallCaps w:val="false"/>
          <w:sz w:val="20"/>
        </w:rPr>
        <w:t>8,000,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63" w:name="xdx_90B_ecustom--RoyaltiesPercentage1_pi"/>
      <w:bookmarkEnd w:id="263"/>
      <w:r>
        <w:rPr>
          <w:rFonts w:ascii="Times New Roman;Times;Serif" w:hAnsi="Times New Roman;Times;Serif"/>
          <w:b w:val="false"/>
          <w:i w:val="false"/>
          <w:caps w:val="false"/>
          <w:smallCaps w:val="false"/>
          <w:sz w:val="20"/>
        </w:rPr>
        <w:t>3% of net revenue generated as a result of sales, license or other exploitation of the Devices;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64" w:name="xdx_905_ecustom--RoyaltiesPercentage1_pi"/>
      <w:bookmarkEnd w:id="264"/>
      <w:r>
        <w:rPr>
          <w:rFonts w:ascii="Times New Roman;Times;Serif" w:hAnsi="Times New Roman;Times;Serif"/>
          <w:b w:val="false"/>
          <w:i w:val="false"/>
          <w:caps w:val="false"/>
          <w:smallCaps w:val="false"/>
          <w:sz w:val="20"/>
        </w:rPr>
        <w:t>1.5% of net revenue generated from the sale, license or other exploitation of commercialization of the technology as part of an integrated product.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the Company concluded that the acquisition of the assets does not meet the definition of a business for the purpose of applying SEC Rules (S-X Rules of 3-05, 8-04 and 11-01).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Mona 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appellate court held in favor of the Company with respect to a 2019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during the three-month period ended March 31, 2025, the Company received a judgment in the amount of approximately $</w:t>
      </w:r>
      <w:bookmarkStart w:id="265" w:name="xdx_900_eus-gaap--ProceedsFromLegalSettl"/>
      <w:bookmarkEnd w:id="265"/>
      <w:r>
        <w:rPr>
          <w:rFonts w:ascii="Times New Roman;Times;Serif" w:hAnsi="Times New Roman;Times;Serif"/>
          <w:b w:val="false"/>
          <w:i w:val="false"/>
          <w:caps w:val="false"/>
          <w:smallCaps w:val="false"/>
          <w:sz w:val="20"/>
        </w:rPr>
        <w:t>316, net of legal fees and expenses. The amount received was recorded as other income in the Company’s interim condensed consolidated statement of comprehensive loss for the six-month period ending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Employment-Related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after having terminated an at-will employee in May 2025, the Company received a charge filed by the former employee with the Massachusetts Commission Against Discrimination (MCAD) and Equal Employment Opportunity Commission (EEOC). On January 16, 2026, the Company filed a position statement responding to the same and challenging the merits of the charge in total. On May 4, 2026, the MCAD/EEOC dismissed the charge based on the former employee’s notification of intent to file a private action in civil court. On May 22, 2026, the Company filed a complaint against the former employee captioned Microbot Medical, Inc. v. Paul Mullen, in Massachusetts Superior Court, Plymouth County, alleging breach of contract and breach of covenant of good faith and fair dealing. Subsequently, on May 22, 2026, the former employee filed a complaint captioned Paul Mullen v. Microbot Medical Inc. et. al., in Massachusetts Superior Court, Plymouth County, alleging violation of Massachusetts fair employment practice laws and wage/hour laws. On June 23, 2026, the Company filed its answer, denying all claims. Based on its initial assessment, the Company believes the former employee’s allegations lack merit and intend to defend against them; however, the matter is in the early stages of litigation and the Company can express no opinion as to the likely outcome of this matter.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Accrued bonuses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recorded accrued bonuses to the CEO, executives and employees, in the aggregate amount of $</w:t>
      </w:r>
      <w:bookmarkStart w:id="266" w:name="xdx_908_eus-gaap--AccruedBonusesCurrentA"/>
      <w:bookmarkEnd w:id="266"/>
      <w:r>
        <w:rPr>
          <w:rFonts w:ascii="Times New Roman;Times;Serif" w:hAnsi="Times New Roman;Times;Serif"/>
          <w:b w:val="false"/>
          <w:i w:val="false"/>
          <w:caps w:val="false"/>
          <w:smallCaps w:val="false"/>
          <w:sz w:val="20"/>
        </w:rPr>
        <w:t>604.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67" w:name="xdx_806_eus-gaap--StockholdersEquityNote"/>
      <w:bookmarkEnd w:id="267"/>
      <w:r>
        <w:rPr>
          <w:rFonts w:ascii="Times New Roman;Times;Serif" w:hAnsi="Times New Roman;Times;Serif"/>
          <w:b/>
          <w:i w:val="false"/>
          <w:caps w:val="false"/>
          <w:smallCaps w:val="false"/>
          <w:sz w:val="20"/>
        </w:rPr>
        <w:t xml:space="preserve">NOTE 4 - </w:t>
      </w:r>
      <w:bookmarkStart w:id="268" w:name="xdx_829_zoVx8B717AHa"/>
      <w:bookmarkEnd w:id="268"/>
      <w:r>
        <w:rPr>
          <w:rFonts w:ascii="Times New Roman;Times;Serif" w:hAnsi="Times New Roman;Times;Serif"/>
          <w:b/>
          <w:i w:val="false"/>
          <w:caps w:val="false"/>
          <w:smallCaps w:val="false"/>
          <w:sz w:val="20"/>
        </w:rPr>
        <w:t>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Registered direct and private placement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 2024, the Company entered into Securities Purchase Agreements with institutional investors, pursuant to which the Company agreed to issue and sell, in a registered direct offering priced at-the-market under the rules of The Nasdaq Stock Market, an aggregate of </w:t>
      </w:r>
      <w:bookmarkStart w:id="269" w:name="xdx_905_eus-gaap--StockIssuedDuringPerio"/>
      <w:bookmarkEnd w:id="269"/>
      <w:r>
        <w:rPr>
          <w:rFonts w:ascii="Times New Roman;Times;Serif" w:hAnsi="Times New Roman;Times;Serif"/>
          <w:b w:val="false"/>
          <w:i w:val="false"/>
          <w:caps w:val="false"/>
          <w:smallCaps w:val="false"/>
          <w:sz w:val="20"/>
        </w:rPr>
        <w:t>1,566,669 shares of the Company’s common stock, par value $</w:t>
      </w:r>
      <w:bookmarkStart w:id="270" w:name="xdx_90A_eus-gaap--CommonStockParOrStated"/>
      <w:bookmarkEnd w:id="270"/>
      <w:r>
        <w:rPr>
          <w:rFonts w:ascii="Times New Roman;Times;Serif" w:hAnsi="Times New Roman;Times;Serif"/>
          <w:b w:val="false"/>
          <w:i w:val="false"/>
          <w:caps w:val="false"/>
          <w:smallCaps w:val="false"/>
          <w:sz w:val="20"/>
        </w:rPr>
        <w:t>0.01 per share, at an offering price of $</w:t>
      </w:r>
      <w:bookmarkStart w:id="271" w:name="xdx_903_eus-gaap--SharesIssuedPricePerSh"/>
      <w:bookmarkEnd w:id="271"/>
      <w:r>
        <w:rPr>
          <w:rFonts w:ascii="Times New Roman;Times;Serif" w:hAnsi="Times New Roman;Times;Serif"/>
          <w:b w:val="false"/>
          <w:i w:val="false"/>
          <w:caps w:val="false"/>
          <w:smallCaps w:val="false"/>
          <w:sz w:val="20"/>
        </w:rPr>
        <w:t>1.50 per share, for aggregate gross proceeds of approximately $</w:t>
      </w:r>
      <w:bookmarkStart w:id="272" w:name="xdx_905_eus-gaap--ProceedsFromIssuanceOf"/>
      <w:bookmarkEnd w:id="272"/>
      <w:r>
        <w:rPr>
          <w:rFonts w:ascii="Times New Roman;Times;Serif" w:hAnsi="Times New Roman;Times;Serif"/>
          <w:b w:val="false"/>
          <w:i w:val="false"/>
          <w:caps w:val="false"/>
          <w:smallCaps w:val="false"/>
          <w:sz w:val="20"/>
        </w:rPr>
        <w:t>2,350 before deducting the placement agent fee and related offering expenses of approximately $</w:t>
      </w:r>
      <w:bookmarkStart w:id="273" w:name="xdx_90B_eus-gaap--DeferredOfferingCosts_"/>
      <w:bookmarkEnd w:id="273"/>
      <w:r>
        <w:rPr>
          <w:rFonts w:ascii="Times New Roman;Times;Serif" w:hAnsi="Times New Roman;Times;Serif"/>
          <w:b w:val="false"/>
          <w:i w:val="false"/>
          <w:caps w:val="false"/>
          <w:smallCaps w:val="false"/>
          <w:sz w:val="20"/>
        </w:rPr>
        <w:t xml:space="preserve">328. In a concurrent private placement, the Company agreed to issue to the investors series F preferred investment options to purchase up to </w:t>
      </w:r>
      <w:bookmarkStart w:id="274" w:name="xdx_90B_eus-gaap--StockIssuedDuringPerio"/>
      <w:bookmarkEnd w:id="274"/>
      <w:r>
        <w:rPr>
          <w:rFonts w:ascii="Times New Roman;Times;Serif" w:hAnsi="Times New Roman;Times;Serif"/>
          <w:b w:val="false"/>
          <w:i w:val="false"/>
          <w:caps w:val="false"/>
          <w:smallCaps w:val="false"/>
          <w:sz w:val="20"/>
        </w:rPr>
        <w:t>3,133,338 shares of common stock at an exercise price of $</w:t>
      </w:r>
      <w:bookmarkStart w:id="275" w:name="xdx_90C_eus-gaap--SharesIssuedPricePerSh"/>
      <w:bookmarkEnd w:id="275"/>
      <w:r>
        <w:rPr>
          <w:rFonts w:ascii="Times New Roman;Times;Serif" w:hAnsi="Times New Roman;Times;Serif"/>
          <w:b w:val="false"/>
          <w:i w:val="false"/>
          <w:caps w:val="false"/>
          <w:smallCaps w:val="false"/>
          <w:sz w:val="20"/>
        </w:rPr>
        <w:t>1.50 per share. Each Series F preferred investment option is exercisable immediately and will expire two years from the initial exercise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up to </w:t>
      </w:r>
      <w:bookmarkStart w:id="276" w:name="xdx_90E_eus-gaap--StockIssuedDuringPerio"/>
      <w:bookmarkEnd w:id="276"/>
      <w:r>
        <w:rPr>
          <w:rFonts w:ascii="Times New Roman;Times;Serif" w:hAnsi="Times New Roman;Times;Serif"/>
          <w:b w:val="false"/>
          <w:i w:val="false"/>
          <w:caps w:val="false"/>
          <w:smallCaps w:val="false"/>
          <w:sz w:val="20"/>
        </w:rPr>
        <w:t>78,333 shares of common stock which have the same terms as investors’ preferred investment options except for an exercise price equal to $</w:t>
      </w:r>
      <w:bookmarkStart w:id="277" w:name="xdx_900_eus-gaap--SharesIssuedPricePerSh"/>
      <w:bookmarkEnd w:id="277"/>
      <w:r>
        <w:rPr>
          <w:rFonts w:ascii="Times New Roman;Times;Serif" w:hAnsi="Times New Roman;Times;Serif"/>
          <w:b w:val="false"/>
          <w:i w:val="false"/>
          <w:caps w:val="false"/>
          <w:smallCaps w:val="false"/>
          <w:sz w:val="20"/>
        </w:rPr>
        <w:t>1.875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78" w:name="xdx_90E_eus-gaap--StockIssuedDuringPerio"/>
      <w:bookmarkEnd w:id="278"/>
      <w:r>
        <w:rPr>
          <w:rFonts w:ascii="Times New Roman;Times;Serif" w:hAnsi="Times New Roman;Times;Serif"/>
          <w:b w:val="false"/>
          <w:i w:val="false"/>
          <w:caps w:val="false"/>
          <w:smallCaps w:val="false"/>
          <w:sz w:val="20"/>
        </w:rPr>
        <w:t>4,000,001 shares of the Company’s common stock, par value $</w:t>
      </w:r>
      <w:bookmarkStart w:id="279" w:name="xdx_905_eus-gaap--CommonStockParOrStated"/>
      <w:bookmarkEnd w:id="279"/>
      <w:r>
        <w:rPr>
          <w:rFonts w:ascii="Times New Roman;Times;Serif" w:hAnsi="Times New Roman;Times;Serif"/>
          <w:b w:val="false"/>
          <w:i w:val="false"/>
          <w:caps w:val="false"/>
          <w:smallCaps w:val="false"/>
          <w:sz w:val="20"/>
        </w:rPr>
        <w:t>0.01 per share, at an offering price of $</w:t>
      </w:r>
      <w:bookmarkStart w:id="280" w:name="xdx_90D_eus-gaap--SharesIssuedPricePerSh"/>
      <w:bookmarkEnd w:id="280"/>
      <w:r>
        <w:rPr>
          <w:rFonts w:ascii="Times New Roman;Times;Serif" w:hAnsi="Times New Roman;Times;Serif"/>
          <w:b w:val="false"/>
          <w:i w:val="false"/>
          <w:caps w:val="false"/>
          <w:smallCaps w:val="false"/>
          <w:sz w:val="20"/>
        </w:rPr>
        <w:t>1.75 per share, for aggregate gross proceeds from the offerings of approximately $</w:t>
      </w:r>
      <w:bookmarkStart w:id="281" w:name="xdx_90E_eus-gaap--ProceedsFromIssuanceOf"/>
      <w:bookmarkEnd w:id="281"/>
      <w:r>
        <w:rPr>
          <w:rFonts w:ascii="Times New Roman;Times;Serif" w:hAnsi="Times New Roman;Times;Serif"/>
          <w:b w:val="false"/>
          <w:i w:val="false"/>
          <w:caps w:val="false"/>
          <w:smallCaps w:val="false"/>
          <w:sz w:val="20"/>
        </w:rPr>
        <w:t>7,000 before deducting the placement agent fee and related offering expenses of approximately $</w:t>
      </w:r>
      <w:bookmarkStart w:id="282" w:name="xdx_901_eus-gaap--DeferredOfferingCosts_"/>
      <w:bookmarkEnd w:id="282"/>
      <w:r>
        <w:rPr>
          <w:rFonts w:ascii="Times New Roman;Times;Serif" w:hAnsi="Times New Roman;Times;Serif"/>
          <w:b w:val="false"/>
          <w:i w:val="false"/>
          <w:caps w:val="false"/>
          <w:smallCaps w:val="false"/>
          <w:sz w:val="20"/>
        </w:rPr>
        <w:t xml:space="preserve">690. In a concurrent private placement, the Company agreed to issue to the investors series G preferred investment options to purchase up to </w:t>
      </w:r>
      <w:bookmarkStart w:id="283" w:name="xdx_90A_eus-gaap--StockIssuedDuringPerio"/>
      <w:bookmarkEnd w:id="283"/>
      <w:r>
        <w:rPr>
          <w:rFonts w:ascii="Times New Roman;Times;Serif" w:hAnsi="Times New Roman;Times;Serif"/>
          <w:b w:val="false"/>
          <w:i w:val="false"/>
          <w:caps w:val="false"/>
          <w:smallCaps w:val="false"/>
          <w:sz w:val="20"/>
        </w:rPr>
        <w:t>8,000,002 shares of common stock at an exercise price of $</w:t>
      </w:r>
      <w:bookmarkStart w:id="284" w:name="xdx_908_eus-gaap--SharesIssuedPricePerSh"/>
      <w:bookmarkEnd w:id="284"/>
      <w:r>
        <w:rPr>
          <w:rFonts w:ascii="Times New Roman;Times;Serif" w:hAnsi="Times New Roman;Times;Serif"/>
          <w:b w:val="false"/>
          <w:i w:val="false"/>
          <w:caps w:val="false"/>
          <w:smallCaps w:val="false"/>
          <w:sz w:val="20"/>
        </w:rPr>
        <w:t xml:space="preserve">1.75 per share. Each Series G preferred investment option is exercisable immediately and will expire two years from the initial exercise date. The Company also issued to Wainwright or its designees preferred investment options to purchase up to </w:t>
      </w:r>
      <w:bookmarkStart w:id="285" w:name="xdx_907_eus-gaap--StockIssuedDuringPerio"/>
      <w:bookmarkEnd w:id="285"/>
      <w:r>
        <w:rPr>
          <w:rFonts w:ascii="Times New Roman;Times;Serif" w:hAnsi="Times New Roman;Times;Serif"/>
          <w:b w:val="false"/>
          <w:i w:val="false"/>
          <w:caps w:val="false"/>
          <w:smallCaps w:val="false"/>
          <w:sz w:val="20"/>
        </w:rPr>
        <w:t>200,000 shares of common stock which have the same terms as investors’ preferred investment options except for an exercise price equal to $</w:t>
      </w:r>
      <w:bookmarkStart w:id="286" w:name="xdx_908_eus-gaap--SharesIssuedPricePerSh"/>
      <w:bookmarkEnd w:id="286"/>
      <w:r>
        <w:rPr>
          <w:rFonts w:ascii="Times New Roman;Times;Serif" w:hAnsi="Times New Roman;Times;Serif"/>
          <w:b w:val="false"/>
          <w:i w:val="false"/>
          <w:caps w:val="false"/>
          <w:smallCaps w:val="false"/>
          <w:sz w:val="20"/>
        </w:rPr>
        <w:t>2.1875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87" w:name="xdx_902_eus-gaap--StockIssuedDuringPerio"/>
      <w:bookmarkEnd w:id="287"/>
      <w:r>
        <w:rPr>
          <w:rFonts w:ascii="Times New Roman;Times;Serif" w:hAnsi="Times New Roman;Times;Serif"/>
          <w:b w:val="false"/>
          <w:i w:val="false"/>
          <w:caps w:val="false"/>
          <w:smallCaps w:val="false"/>
          <w:sz w:val="20"/>
        </w:rPr>
        <w:t>3,788,550 shares of the Company’s common stock, par value $</w:t>
      </w:r>
      <w:bookmarkStart w:id="288" w:name="xdx_900_eus-gaap--CommonStockParOrStated"/>
      <w:bookmarkEnd w:id="288"/>
      <w:r>
        <w:rPr>
          <w:rFonts w:ascii="Times New Roman;Times;Serif" w:hAnsi="Times New Roman;Times;Serif"/>
          <w:b w:val="false"/>
          <w:i w:val="false"/>
          <w:caps w:val="false"/>
          <w:smallCaps w:val="false"/>
          <w:sz w:val="20"/>
        </w:rPr>
        <w:t>0.01 per share, at an offering price of $</w:t>
      </w:r>
      <w:bookmarkStart w:id="289" w:name="xdx_908_eus-gaap--SharesIssuedPricePerSh"/>
      <w:bookmarkEnd w:id="289"/>
      <w:r>
        <w:rPr>
          <w:rFonts w:ascii="Times New Roman;Times;Serif" w:hAnsi="Times New Roman;Times;Serif"/>
          <w:b w:val="false"/>
          <w:i w:val="false"/>
          <w:caps w:val="false"/>
          <w:smallCaps w:val="false"/>
          <w:sz w:val="20"/>
        </w:rPr>
        <w:t>2.27 per share, for aggregate gross proceeds from the offerings of approximately $</w:t>
      </w:r>
      <w:bookmarkStart w:id="290" w:name="xdx_90D_eus-gaap--ProceedsFromIssuanceOf"/>
      <w:bookmarkEnd w:id="290"/>
      <w:r>
        <w:rPr>
          <w:rFonts w:ascii="Times New Roman;Times;Serif" w:hAnsi="Times New Roman;Times;Serif"/>
          <w:b w:val="false"/>
          <w:i w:val="false"/>
          <w:caps w:val="false"/>
          <w:smallCaps w:val="false"/>
          <w:sz w:val="20"/>
        </w:rPr>
        <w:t>8,600 before deducting the placement agent fee and related offering expenses of approximately $</w:t>
      </w:r>
      <w:bookmarkStart w:id="291" w:name="xdx_904_eus-gaap--DeferredOfferingCosts_"/>
      <w:bookmarkEnd w:id="291"/>
      <w:r>
        <w:rPr>
          <w:rFonts w:ascii="Times New Roman;Times;Serif" w:hAnsi="Times New Roman;Times;Serif"/>
          <w:b w:val="false"/>
          <w:i w:val="false"/>
          <w:caps w:val="false"/>
          <w:smallCaps w:val="false"/>
          <w:sz w:val="20"/>
        </w:rPr>
        <w:t xml:space="preserve">818. In a concurrent private placement, the Company agreed to issue to the investors series H preferred investment options to purchase up to </w:t>
      </w:r>
      <w:bookmarkStart w:id="292" w:name="xdx_906_eus-gaap--StockIssuedDuringPerio"/>
      <w:bookmarkEnd w:id="292"/>
      <w:r>
        <w:rPr>
          <w:rFonts w:ascii="Times New Roman;Times;Serif" w:hAnsi="Times New Roman;Times;Serif"/>
          <w:b w:val="false"/>
          <w:i w:val="false"/>
          <w:caps w:val="false"/>
          <w:smallCaps w:val="false"/>
          <w:sz w:val="20"/>
        </w:rPr>
        <w:t>7,577,100 shares of common stock at an exercise price of $</w:t>
      </w:r>
      <w:bookmarkStart w:id="293" w:name="xdx_90D_eus-gaap--SharesIssuedPricePerSh"/>
      <w:bookmarkEnd w:id="293"/>
      <w:r>
        <w:rPr>
          <w:rFonts w:ascii="Times New Roman;Times;Serif" w:hAnsi="Times New Roman;Times;Serif"/>
          <w:b w:val="false"/>
          <w:i w:val="false"/>
          <w:caps w:val="false"/>
          <w:smallCaps w:val="false"/>
          <w:sz w:val="20"/>
        </w:rPr>
        <w:t xml:space="preserve">2.10 per share. Each Series H preferred investment option is exercisable immediately and will expire two years from the initial exercise date. The Company also issued to Wainwright or its designees preferred investment options to purchase up to </w:t>
      </w:r>
      <w:bookmarkStart w:id="294" w:name="xdx_907_eus-gaap--StockIssuedDuringPerio"/>
      <w:bookmarkEnd w:id="294"/>
      <w:r>
        <w:rPr>
          <w:rFonts w:ascii="Times New Roman;Times;Serif" w:hAnsi="Times New Roman;Times;Serif"/>
          <w:b w:val="false"/>
          <w:i w:val="false"/>
          <w:caps w:val="false"/>
          <w:smallCaps w:val="false"/>
          <w:sz w:val="20"/>
        </w:rPr>
        <w:t>189,428 shares of common stock which have the same terms as investors’ preferred investment options except for an exercise price equal to $</w:t>
      </w:r>
      <w:bookmarkStart w:id="295" w:name="xdx_901_eus-gaap--SharesIssuedPricePerSh"/>
      <w:bookmarkEnd w:id="295"/>
      <w:r>
        <w:rPr>
          <w:rFonts w:ascii="Times New Roman;Times;Serif" w:hAnsi="Times New Roman;Times;Serif"/>
          <w:b w:val="false"/>
          <w:i w:val="false"/>
          <w:caps w:val="false"/>
          <w:smallCaps w:val="false"/>
          <w:sz w:val="20"/>
        </w:rPr>
        <w:t>2.8375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296" w:name="xdx_900_eus-gaap--StockIssuedDuringPerio"/>
      <w:bookmarkEnd w:id="296"/>
      <w:r>
        <w:rPr>
          <w:rFonts w:ascii="Times New Roman;Times;Serif" w:hAnsi="Times New Roman;Times;Serif"/>
          <w:b w:val="false"/>
          <w:i w:val="false"/>
          <w:caps w:val="false"/>
          <w:smallCaps w:val="false"/>
          <w:sz w:val="20"/>
        </w:rPr>
        <w:t>6,103,289 shares of the Company’s common stock, par value $</w:t>
      </w:r>
      <w:bookmarkStart w:id="297" w:name="xdx_90A_eus-gaap--CommonStockParOrStated"/>
      <w:bookmarkEnd w:id="297"/>
      <w:r>
        <w:rPr>
          <w:rFonts w:ascii="Times New Roman;Times;Serif" w:hAnsi="Times New Roman;Times;Serif"/>
          <w:b w:val="false"/>
          <w:i w:val="false"/>
          <w:caps w:val="false"/>
          <w:smallCaps w:val="false"/>
          <w:sz w:val="20"/>
        </w:rPr>
        <w:t>0.01 per share, at an offering price of $</w:t>
      </w:r>
      <w:bookmarkStart w:id="298" w:name="xdx_90E_eus-gaap--SharesIssuedPricePerSh"/>
      <w:bookmarkEnd w:id="298"/>
      <w:r>
        <w:rPr>
          <w:rFonts w:ascii="Times New Roman;Times;Serif" w:hAnsi="Times New Roman;Times;Serif"/>
          <w:b w:val="false"/>
          <w:i w:val="false"/>
          <w:caps w:val="false"/>
          <w:smallCaps w:val="false"/>
          <w:sz w:val="20"/>
        </w:rPr>
        <w:t>2.13 per share, for aggregate gross proceeds from the offerings of approximately $</w:t>
      </w:r>
      <w:bookmarkStart w:id="299" w:name="xdx_90B_eus-gaap--ProceedsFromIssuanceOf"/>
      <w:bookmarkEnd w:id="299"/>
      <w:r>
        <w:rPr>
          <w:rFonts w:ascii="Times New Roman;Times;Serif" w:hAnsi="Times New Roman;Times;Serif"/>
          <w:b w:val="false"/>
          <w:i w:val="false"/>
          <w:caps w:val="false"/>
          <w:smallCaps w:val="false"/>
          <w:sz w:val="20"/>
        </w:rPr>
        <w:t>13,000 before deducting the placement agent fee and related offering expenses of approximately $</w:t>
      </w:r>
      <w:bookmarkStart w:id="300" w:name="xdx_90C_eus-gaap--DeferredOfferingCosts_"/>
      <w:bookmarkEnd w:id="300"/>
      <w:r>
        <w:rPr>
          <w:rFonts w:ascii="Times New Roman;Times;Serif" w:hAnsi="Times New Roman;Times;Serif"/>
          <w:b w:val="false"/>
          <w:i w:val="false"/>
          <w:caps w:val="false"/>
          <w:smallCaps w:val="false"/>
          <w:sz w:val="20"/>
        </w:rPr>
        <w:t xml:space="preserve">1,175. In a concurrent private placement, the Company agreed to issue to the investors series I preferred investment options to purchase up to </w:t>
      </w:r>
      <w:bookmarkStart w:id="301" w:name="xdx_903_eus-gaap--StockIssuedDuringPerio"/>
      <w:bookmarkEnd w:id="301"/>
      <w:r>
        <w:rPr>
          <w:rFonts w:ascii="Times New Roman;Times;Serif" w:hAnsi="Times New Roman;Times;Serif"/>
          <w:b w:val="false"/>
          <w:i w:val="false"/>
          <w:caps w:val="false"/>
          <w:smallCaps w:val="false"/>
          <w:sz w:val="20"/>
        </w:rPr>
        <w:t>12,206,578 shares of common stock at an exercise price of $</w:t>
      </w:r>
      <w:bookmarkStart w:id="302" w:name="xdx_905_eus-gaap--SharesIssuedPricePerSh"/>
      <w:bookmarkEnd w:id="302"/>
      <w:r>
        <w:rPr>
          <w:rFonts w:ascii="Times New Roman;Times;Serif" w:hAnsi="Times New Roman;Times;Serif"/>
          <w:b w:val="false"/>
          <w:i w:val="false"/>
          <w:caps w:val="false"/>
          <w:smallCaps w:val="false"/>
          <w:sz w:val="20"/>
        </w:rPr>
        <w:t>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up to </w:t>
      </w:r>
      <w:bookmarkStart w:id="303" w:name="xdx_900_eus-gaap--StockIssuedDuringPerio"/>
      <w:bookmarkEnd w:id="303"/>
      <w:r>
        <w:rPr>
          <w:rFonts w:ascii="Times New Roman;Times;Serif" w:hAnsi="Times New Roman;Times;Serif"/>
          <w:b w:val="false"/>
          <w:i w:val="false"/>
          <w:caps w:val="false"/>
          <w:smallCaps w:val="false"/>
          <w:sz w:val="20"/>
        </w:rPr>
        <w:t>305,164 shares of common stock which have the same terms as investors’ preferred investment options except for an exercise price equal to $</w:t>
      </w:r>
      <w:bookmarkStart w:id="304" w:name="xdx_904_eus-gaap--SharesIssuedPricePerSh"/>
      <w:bookmarkEnd w:id="304"/>
      <w:r>
        <w:rPr>
          <w:rFonts w:ascii="Times New Roman;Times;Serif" w:hAnsi="Times New Roman;Times;Serif"/>
          <w:b w:val="false"/>
          <w:i w:val="false"/>
          <w:caps w:val="false"/>
          <w:smallCaps w:val="false"/>
          <w:sz w:val="20"/>
        </w:rPr>
        <w:t>2.66 per share.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at the Company’s annual meeting of stockholders, an amendment to the Company’s articles of incorporation was approved, increasing the number of authorized shares of common stock to </w:t>
      </w:r>
      <w:bookmarkStart w:id="305" w:name="xdx_90F_eus-gaap--CommonStockSharesAutho"/>
      <w:bookmarkEnd w:id="305"/>
      <w:r>
        <w:rPr>
          <w:rFonts w:ascii="Times New Roman;Times;Serif" w:hAnsi="Times New Roman;Times;Serif"/>
          <w:b w:val="false"/>
          <w:i w:val="false"/>
          <w:caps w:val="false"/>
          <w:smallCaps w:val="false"/>
          <w:sz w:val="20"/>
        </w:rPr>
        <w:t>120,000,000. The amendment was subsequently filed with and accepted by the State of Delaware law and became effective on that date. Refer to Note 4E.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Series I preferred investment options to purchase up to </w:t>
      </w:r>
      <w:bookmarkStart w:id="306" w:name="xdx_906_eus-gaap--StockIssuedDuringPerio"/>
      <w:bookmarkEnd w:id="306"/>
      <w:r>
        <w:rPr>
          <w:rFonts w:ascii="Times New Roman;Times;Serif" w:hAnsi="Times New Roman;Times;Serif"/>
          <w:b w:val="false"/>
          <w:i w:val="false"/>
          <w:caps w:val="false"/>
          <w:smallCaps w:val="false"/>
          <w:sz w:val="20"/>
        </w:rPr>
        <w:t>12,206,578 shares of common stock at an exercise price of $</w:t>
      </w:r>
      <w:bookmarkStart w:id="307" w:name="xdx_904_eus-gaap--SharesIssuedPricePerSh"/>
      <w:bookmarkEnd w:id="307"/>
      <w:r>
        <w:rPr>
          <w:rFonts w:ascii="Times New Roman;Times;Serif" w:hAnsi="Times New Roman;Times;Serif"/>
          <w:b w:val="false"/>
          <w:i w:val="false"/>
          <w:caps w:val="false"/>
          <w:smallCaps w:val="false"/>
          <w:sz w:val="20"/>
        </w:rPr>
        <w:t xml:space="preserve">2.13 per share, and the placement agent preferred investment options to purchase up to </w:t>
      </w:r>
      <w:bookmarkStart w:id="308" w:name="xdx_90C_eus-gaap--StockIssuedDuringPerio"/>
      <w:bookmarkEnd w:id="308"/>
      <w:r>
        <w:rPr>
          <w:rFonts w:ascii="Times New Roman;Times;Serif" w:hAnsi="Times New Roman;Times;Serif"/>
          <w:b w:val="false"/>
          <w:i w:val="false"/>
          <w:caps w:val="false"/>
          <w:smallCaps w:val="false"/>
          <w:sz w:val="20"/>
        </w:rPr>
        <w:t>305,164 shares of common stock at an exercise price of $</w:t>
      </w:r>
      <w:bookmarkStart w:id="309" w:name="xdx_90E_eus-gaap--SharesIssuedPricePerSh"/>
      <w:bookmarkEnd w:id="309"/>
      <w:r>
        <w:rPr>
          <w:rFonts w:ascii="Times New Roman;Times;Serif" w:hAnsi="Times New Roman;Times;Serif"/>
          <w:b w:val="false"/>
          <w:i w:val="false"/>
          <w:caps w:val="false"/>
          <w:smallCaps w:val="false"/>
          <w:sz w:val="20"/>
        </w:rPr>
        <w:t>2.66 per share, each of which was issued on February 11, 2025, became immediately exercisable until their two-year anniversary.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Equity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is classified as equity under the requirements of ASC Topic 505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guidance of ASC 480 and ASC 815 the warrants were classified as equity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outstanding preferred investment options issued to Wainwright and all such preferred investment options are equity-classified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At-the-market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filed with the SEC a prospectus supplement relating to the offer, issuance and sale of up to $</w:t>
      </w:r>
      <w:bookmarkStart w:id="310" w:name="xdx_902_eus-gaap--SaleOfStockConsiderati"/>
      <w:bookmarkEnd w:id="310"/>
      <w:r>
        <w:rPr>
          <w:rFonts w:ascii="Times New Roman;Times;Serif" w:hAnsi="Times New Roman;Times;Serif"/>
          <w:b w:val="false"/>
          <w:i w:val="false"/>
          <w:caps w:val="false"/>
          <w:smallCaps w:val="false"/>
          <w:sz w:val="20"/>
        </w:rPr>
        <w:t xml:space="preserve">4,820 of the Company’s shares of common stock pursuant to the ATM Agreement. In January 2025, the Company issued </w:t>
      </w:r>
      <w:bookmarkStart w:id="311" w:name="xdx_90A_eus-gaap--StockIssuedDuringPerio"/>
      <w:bookmarkEnd w:id="311"/>
      <w:r>
        <w:rPr>
          <w:rFonts w:ascii="Times New Roman;Times;Serif" w:hAnsi="Times New Roman;Times;Serif"/>
          <w:b w:val="false"/>
          <w:i w:val="false"/>
          <w:caps w:val="false"/>
          <w:smallCaps w:val="false"/>
          <w:sz w:val="20"/>
        </w:rPr>
        <w:t>842,606 shares of the Company’s common stock pursuant to the ATM Agreement, for total gross proceeds of approximately $</w:t>
      </w:r>
      <w:bookmarkStart w:id="312" w:name="xdx_909_eus-gaap--ProceedsFromIssuanceOf"/>
      <w:bookmarkEnd w:id="312"/>
      <w:r>
        <w:rPr>
          <w:rFonts w:ascii="Times New Roman;Times;Serif" w:hAnsi="Times New Roman;Times;Serif"/>
          <w:b w:val="false"/>
          <w:i w:val="false"/>
          <w:caps w:val="false"/>
          <w:smallCaps w:val="false"/>
          <w:sz w:val="20"/>
        </w:rPr>
        <w:t>1,062 before deducting sales agent commissions and other offering expenses of $</w:t>
      </w:r>
      <w:bookmarkStart w:id="313" w:name="xdx_903_eus-gaap--OtherExpenses_pn3n3_c2"/>
      <w:bookmarkEnd w:id="313"/>
      <w:r>
        <w:rPr>
          <w:rFonts w:ascii="Times New Roman;Times;Serif" w:hAnsi="Times New Roman;Times;Serif"/>
          <w:b w:val="false"/>
          <w:i w:val="false"/>
          <w:caps w:val="false"/>
          <w:smallCaps w:val="false"/>
          <w:sz w:val="20"/>
        </w:rPr>
        <w:t>65.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the Company filed with the SEC a prospectus supplement relating to the offer, issuance and sale of up to $</w:t>
      </w:r>
      <w:bookmarkStart w:id="314" w:name="xdx_90E_eus-gaap--SaleOfStockConsiderati"/>
      <w:bookmarkEnd w:id="314"/>
      <w:r>
        <w:rPr>
          <w:rFonts w:ascii="Times New Roman;Times;Serif" w:hAnsi="Times New Roman;Times;Serif"/>
          <w:b w:val="false"/>
          <w:i w:val="false"/>
          <w:caps w:val="false"/>
          <w:smallCaps w:val="false"/>
          <w:sz w:val="20"/>
        </w:rPr>
        <w:t xml:space="preserve">39,231 of the Company’s shares of common stock pursuant to the ATM Agreement. As of June 30, 2026, the Company issued </w:t>
      </w:r>
      <w:bookmarkStart w:id="315" w:name="xdx_904_eus-gaap--StockIssuedDuringPerio"/>
      <w:bookmarkEnd w:id="315"/>
      <w:r>
        <w:rPr>
          <w:rFonts w:ascii="Times New Roman;Times;Serif" w:hAnsi="Times New Roman;Times;Serif"/>
          <w:b w:val="false"/>
          <w:i w:val="false"/>
          <w:caps w:val="false"/>
          <w:smallCaps w:val="false"/>
          <w:sz w:val="20"/>
        </w:rPr>
        <w:t>6,757 shares of the Company’s common stock pursuant to the ATM Agreement, for total gross proceeds of approximately $</w:t>
      </w:r>
      <w:bookmarkStart w:id="316" w:name="xdx_903_eus-gaap--ProceedsFromIssuanceOf"/>
      <w:bookmarkEnd w:id="316"/>
      <w:r>
        <w:rPr>
          <w:rFonts w:ascii="Times New Roman;Times;Serif" w:hAnsi="Times New Roman;Times;Serif"/>
          <w:b w:val="false"/>
          <w:i w:val="false"/>
          <w:caps w:val="false"/>
          <w:smallCaps w:val="false"/>
          <w:sz w:val="20"/>
        </w:rPr>
        <w:t>17 before deducting sales agent commissions and other offering expenses of $</w:t>
      </w:r>
      <w:bookmarkStart w:id="317" w:name="xdx_901_eus-gaap--OtherExpenses_pn3n3_c2"/>
      <w:bookmarkEnd w:id="317"/>
      <w:r>
        <w:rPr>
          <w:rFonts w:ascii="Times New Roman;Times;Serif" w:hAnsi="Times New Roman;Times;Serif"/>
          <w:b w:val="false"/>
          <w:i w:val="false"/>
          <w:caps w:val="false"/>
          <w:smallCaps w:val="false"/>
          <w:sz w:val="20"/>
        </w:rPr>
        <w:t>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Exercise of Investment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raised approximately $</w:t>
      </w:r>
      <w:bookmarkStart w:id="318" w:name="xdx_907_eus-gaap--ProceedsFromStockOptio"/>
      <w:bookmarkEnd w:id="318"/>
      <w:r>
        <w:rPr>
          <w:rFonts w:ascii="Times New Roman;Times;Serif" w:hAnsi="Times New Roman;Times;Serif"/>
          <w:b w:val="false"/>
          <w:i w:val="false"/>
          <w:caps w:val="false"/>
          <w:smallCaps w:val="false"/>
          <w:sz w:val="20"/>
        </w:rPr>
        <w:t xml:space="preserve">33,855 in gross proceeds from the exercise of an aggregate of </w:t>
      </w:r>
      <w:bookmarkStart w:id="319" w:name="xdx_907_eus-gaap--ShareBasedCompensation"/>
      <w:bookmarkEnd w:id="319"/>
      <w:r>
        <w:rPr>
          <w:rFonts w:ascii="Times New Roman;Times;Serif" w:hAnsi="Times New Roman;Times;Serif"/>
          <w:b w:val="false"/>
          <w:i w:val="false"/>
          <w:caps w:val="false"/>
          <w:smallCaps w:val="false"/>
          <w:sz w:val="20"/>
        </w:rPr>
        <w:t>18,613,585 outstanding Series E, Series F, Series G, Series H and Series I preferred investment options. As a result of these exercises, and in accordance with the Company’s engagement letters with its placement agent, as mentioned in Note 3D, the Company incurred placement agent cash fees of approximately $</w:t>
      </w:r>
      <w:bookmarkStart w:id="320" w:name="xdx_904_eus-gaap--PaymentsForFees_pn3n3_"/>
      <w:bookmarkEnd w:id="320"/>
      <w:r>
        <w:rPr>
          <w:rFonts w:ascii="Times New Roman;Times;Serif" w:hAnsi="Times New Roman;Times;Serif"/>
          <w:b w:val="false"/>
          <w:i w:val="false"/>
          <w:caps w:val="false"/>
          <w:smallCaps w:val="false"/>
          <w:sz w:val="20"/>
        </w:rPr>
        <w:t xml:space="preserve">2,370. Additionally, the Company issued an aggregate of </w:t>
      </w:r>
      <w:bookmarkStart w:id="321" w:name="xdx_90D_eus-gaap--ShareBasedCompensation"/>
      <w:bookmarkEnd w:id="321"/>
      <w:r>
        <w:rPr>
          <w:rFonts w:ascii="Times New Roman;Times;Serif" w:hAnsi="Times New Roman;Times;Serif"/>
          <w:b w:val="false"/>
          <w:i w:val="false"/>
          <w:caps w:val="false"/>
          <w:smallCaps w:val="false"/>
          <w:sz w:val="20"/>
        </w:rPr>
        <w:t>930,680 placement agent options in accordance with such engagement letter.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the Company received gross proceeds of approximately $</w:t>
      </w:r>
      <w:bookmarkStart w:id="322" w:name="xdx_905_eus-gaap--ProceedsFromIssuanceOf"/>
      <w:bookmarkEnd w:id="322"/>
      <w:r>
        <w:rPr>
          <w:rFonts w:ascii="Times New Roman;Times;Serif" w:hAnsi="Times New Roman;Times;Serif"/>
          <w:b w:val="false"/>
          <w:i w:val="false"/>
          <w:caps w:val="false"/>
          <w:smallCaps w:val="false"/>
          <w:sz w:val="20"/>
        </w:rPr>
        <w:t xml:space="preserve">895 from the exercise of an aggregate of </w:t>
      </w:r>
      <w:bookmarkStart w:id="323" w:name="xdx_907_eus-gaap--StockIssuedDuringPerio"/>
      <w:bookmarkEnd w:id="323"/>
      <w:r>
        <w:rPr>
          <w:rFonts w:ascii="Times New Roman;Times;Serif" w:hAnsi="Times New Roman;Times;Serif"/>
          <w:b w:val="false"/>
          <w:i w:val="false"/>
          <w:caps w:val="false"/>
          <w:smallCaps w:val="false"/>
          <w:sz w:val="20"/>
        </w:rPr>
        <w:t>374,167 outstanding placement agent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Increase in Authorized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2025 annual meeting of stockholders of the Company held on June 10, 2025, the Company filed with the State of Delaware a certificate of amendment to the Company’s restated certificate of incorporation, as amended, which increased the total number of shares of common stock authorized for issuance to </w:t>
      </w:r>
      <w:bookmarkStart w:id="324" w:name="xdx_90E_eus-gaap--CommonStockSharesAutho"/>
      <w:bookmarkEnd w:id="324"/>
      <w:r>
        <w:rPr>
          <w:rFonts w:ascii="Times New Roman;Times;Serif" w:hAnsi="Times New Roman;Times;Serif"/>
          <w:b w:val="false"/>
          <w:i w:val="false"/>
          <w:caps w:val="false"/>
          <w:smallCaps w:val="false"/>
          <w:sz w:val="20"/>
        </w:rPr>
        <w:t xml:space="preserve">120,000,000 shares, with a corresponding increase in the total authorized shares from </w:t>
      </w:r>
      <w:bookmarkStart w:id="325" w:name="xdx_903_eus-gaap--CapitalUnitsAuthorized"/>
      <w:bookmarkEnd w:id="325"/>
      <w:r>
        <w:rPr>
          <w:rFonts w:ascii="Times New Roman;Times;Serif" w:hAnsi="Times New Roman;Times;Serif"/>
          <w:b w:val="false"/>
          <w:i w:val="false"/>
          <w:caps w:val="false"/>
          <w:smallCaps w:val="false"/>
          <w:sz w:val="20"/>
        </w:rPr>
        <w:t xml:space="preserve">61,000,000 to </w:t>
      </w:r>
      <w:bookmarkStart w:id="326" w:name="xdx_905_eus-gaap--CapitalUnitsAuthorized"/>
      <w:bookmarkEnd w:id="326"/>
      <w:r>
        <w:rPr>
          <w:rFonts w:ascii="Times New Roman;Times;Serif" w:hAnsi="Times New Roman;Times;Serif"/>
          <w:b w:val="false"/>
          <w:i w:val="false"/>
          <w:caps w:val="false"/>
          <w:smallCaps w:val="false"/>
          <w:sz w:val="20"/>
        </w:rPr>
        <w:t xml:space="preserve">121,000,000. Immediately thereafter, the Company had </w:t>
      </w:r>
      <w:bookmarkStart w:id="327" w:name="xdx_905_eus-gaap--CapitalUnitsAuthorized"/>
      <w:bookmarkEnd w:id="327"/>
      <w:r>
        <w:rPr>
          <w:rFonts w:ascii="Times New Roman;Times;Serif" w:hAnsi="Times New Roman;Times;Serif"/>
          <w:b w:val="false"/>
          <w:i w:val="false"/>
          <w:caps w:val="false"/>
          <w:smallCaps w:val="false"/>
          <w:sz w:val="20"/>
        </w:rPr>
        <w:t xml:space="preserve">121,000,000 shares of authorized stock, consisting of (i) </w:t>
      </w:r>
      <w:bookmarkStart w:id="328" w:name="xdx_90F_eus-gaap--CommonStockSharesAutho"/>
      <w:bookmarkEnd w:id="328"/>
      <w:r>
        <w:rPr>
          <w:rFonts w:ascii="Times New Roman;Times;Serif" w:hAnsi="Times New Roman;Times;Serif"/>
          <w:b w:val="false"/>
          <w:i w:val="false"/>
          <w:caps w:val="false"/>
          <w:smallCaps w:val="false"/>
          <w:sz w:val="20"/>
        </w:rPr>
        <w:t xml:space="preserve">120,000,000 shares of common stock, and (ii) </w:t>
      </w:r>
      <w:bookmarkStart w:id="329" w:name="xdx_904_eus-gaap--PreferredStockSharesAu"/>
      <w:bookmarkEnd w:id="329"/>
      <w:r>
        <w:rPr>
          <w:rFonts w:ascii="Times New Roman;Times;Serif" w:hAnsi="Times New Roman;Times;Serif"/>
          <w:b w:val="false"/>
          <w:i w:val="false"/>
          <w:caps w:val="false"/>
          <w:smallCaps w:val="false"/>
          <w:sz w:val="20"/>
        </w:rPr>
        <w:t>1,000,000 shares of undesignated preferred stock.</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Investment Inducement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14, 2025, the Company entered into an inducement agreement (the “Letter Agreement”) with certain holders (the “Holders”) of existing (i) series F preferred investment options to purchase </w:t>
      </w:r>
      <w:bookmarkStart w:id="330" w:name="xdx_900_eus-gaap--StockIssuedDuringPerio"/>
      <w:bookmarkEnd w:id="330"/>
      <w:r>
        <w:rPr>
          <w:rFonts w:ascii="Times New Roman;Times;Serif" w:hAnsi="Times New Roman;Times;Serif"/>
          <w:b w:val="false"/>
          <w:i w:val="false"/>
          <w:caps w:val="false"/>
          <w:smallCaps w:val="false"/>
          <w:sz w:val="20"/>
        </w:rPr>
        <w:t>207,224 shares of Company’s common stock at an exercise price of $</w:t>
      </w:r>
      <w:bookmarkStart w:id="331" w:name="xdx_905_eus-gaap--SharePrice_iI_c2025091"/>
      <w:bookmarkEnd w:id="331"/>
      <w:r>
        <w:rPr>
          <w:rFonts w:ascii="Times New Roman;Times;Serif" w:hAnsi="Times New Roman;Times;Serif"/>
          <w:b w:val="false"/>
          <w:i w:val="false"/>
          <w:caps w:val="false"/>
          <w:smallCaps w:val="false"/>
          <w:sz w:val="20"/>
        </w:rPr>
        <w:t xml:space="preserve">1.50 per share, (ii) series G preferred investment options to purchase </w:t>
      </w:r>
      <w:bookmarkStart w:id="332" w:name="xdx_901_eus-gaap--StockIssuedDuringPerio"/>
      <w:bookmarkEnd w:id="332"/>
      <w:r>
        <w:rPr>
          <w:rFonts w:ascii="Times New Roman;Times;Serif" w:hAnsi="Times New Roman;Times;Serif"/>
          <w:b w:val="false"/>
          <w:i w:val="false"/>
          <w:caps w:val="false"/>
          <w:smallCaps w:val="false"/>
          <w:sz w:val="20"/>
        </w:rPr>
        <w:t>628,571 shares of Company’s common stock at an exercise price of $</w:t>
      </w:r>
      <w:bookmarkStart w:id="333" w:name="xdx_90A_eus-gaap--SharePrice_iI_c2025091"/>
      <w:bookmarkEnd w:id="333"/>
      <w:r>
        <w:rPr>
          <w:rFonts w:ascii="Times New Roman;Times;Serif" w:hAnsi="Times New Roman;Times;Serif"/>
          <w:b w:val="false"/>
          <w:i w:val="false"/>
          <w:caps w:val="false"/>
          <w:smallCaps w:val="false"/>
          <w:sz w:val="20"/>
        </w:rPr>
        <w:t xml:space="preserve">1.75 per share, (iii) series H preferred investment options to purchase </w:t>
      </w:r>
      <w:bookmarkStart w:id="334" w:name="xdx_90A_eus-gaap--StockIssuedDuringPerio"/>
      <w:bookmarkEnd w:id="334"/>
      <w:r>
        <w:rPr>
          <w:rFonts w:ascii="Times New Roman;Times;Serif" w:hAnsi="Times New Roman;Times;Serif"/>
          <w:b w:val="false"/>
          <w:i w:val="false"/>
          <w:caps w:val="false"/>
          <w:smallCaps w:val="false"/>
          <w:sz w:val="20"/>
        </w:rPr>
        <w:t>4,702,612 shares of Company’s common stock at an exercise price of $</w:t>
      </w:r>
      <w:bookmarkStart w:id="335" w:name="xdx_908_eus-gaap--SharePrice_iI_c2025091"/>
      <w:bookmarkEnd w:id="335"/>
      <w:r>
        <w:rPr>
          <w:rFonts w:ascii="Times New Roman;Times;Serif" w:hAnsi="Times New Roman;Times;Serif"/>
          <w:b w:val="false"/>
          <w:i w:val="false"/>
          <w:caps w:val="false"/>
          <w:smallCaps w:val="false"/>
          <w:sz w:val="20"/>
        </w:rPr>
        <w:t xml:space="preserve">2.10 per share, and (iv) series I preferred investment options to purchase </w:t>
      </w:r>
      <w:bookmarkStart w:id="336" w:name="xdx_903_eus-gaap--StockIssuedDuringPerio"/>
      <w:bookmarkEnd w:id="336"/>
      <w:r>
        <w:rPr>
          <w:rFonts w:ascii="Times New Roman;Times;Serif" w:hAnsi="Times New Roman;Times;Serif"/>
          <w:b w:val="false"/>
          <w:i w:val="false"/>
          <w:caps w:val="false"/>
          <w:smallCaps w:val="false"/>
          <w:sz w:val="20"/>
        </w:rPr>
        <w:t>8,450,708 shares of Company’s common stock at an exercise price of $</w:t>
      </w:r>
      <w:bookmarkStart w:id="337" w:name="xdx_900_eus-gaap--SharePrice_iI_c2025091"/>
      <w:bookmarkEnd w:id="337"/>
      <w:r>
        <w:rPr>
          <w:rFonts w:ascii="Times New Roman;Times;Serif" w:hAnsi="Times New Roman;Times;Serif"/>
          <w:b w:val="false"/>
          <w:i w:val="false"/>
          <w:caps w:val="false"/>
          <w:smallCaps w:val="false"/>
          <w:sz w:val="20"/>
        </w:rPr>
        <w:t xml:space="preserve">2.13 per share (collectively, the “Existing Preferred Investment Options”). Pursuant to the Letter Agreement, the Holders exercised for cash their Existing Preferred Investment Options to purchase an aggregate of </w:t>
      </w:r>
      <w:bookmarkStart w:id="338" w:name="xdx_90F_eus-gaap--StockIssuedDuringPerio"/>
      <w:bookmarkEnd w:id="338"/>
      <w:r>
        <w:rPr>
          <w:rFonts w:ascii="Times New Roman;Times;Serif" w:hAnsi="Times New Roman;Times;Serif"/>
          <w:b w:val="false"/>
          <w:i w:val="false"/>
          <w:caps w:val="false"/>
          <w:smallCaps w:val="false"/>
          <w:sz w:val="20"/>
        </w:rPr>
        <w:t>13,989,115 shares of Company’s common stock, at exercise prices ranging from $</w:t>
      </w:r>
      <w:bookmarkStart w:id="339" w:name="xdx_906_eus-gaap--SharePrice_iI_c2025091"/>
      <w:bookmarkEnd w:id="339"/>
      <w:r>
        <w:rPr>
          <w:rFonts w:ascii="Times New Roman;Times;Serif" w:hAnsi="Times New Roman;Times;Serif"/>
          <w:b w:val="false"/>
          <w:i w:val="false"/>
          <w:caps w:val="false"/>
          <w:smallCaps w:val="false"/>
          <w:sz w:val="20"/>
        </w:rPr>
        <w:t>1.50 to $</w:t>
      </w:r>
      <w:bookmarkStart w:id="340" w:name="xdx_90F_eus-gaap--SharePrice_iI_c2025091"/>
      <w:bookmarkEnd w:id="340"/>
      <w:r>
        <w:rPr>
          <w:rFonts w:ascii="Times New Roman;Times;Serif" w:hAnsi="Times New Roman;Times;Serif"/>
          <w:b w:val="false"/>
          <w:i w:val="false"/>
          <w:caps w:val="false"/>
          <w:smallCaps w:val="false"/>
          <w:sz w:val="20"/>
        </w:rPr>
        <w:t xml:space="preserve">2.13 per share, in consideration for the Company’s agreement to issue new series J preferred investment options (the “New Preferred Investment Options”) to purchase up to an aggregate of </w:t>
      </w:r>
      <w:bookmarkStart w:id="341" w:name="xdx_90B_eus-gaap--StockIssuedDuringPerio"/>
      <w:bookmarkEnd w:id="341"/>
      <w:r>
        <w:rPr>
          <w:rFonts w:ascii="Times New Roman;Times;Serif" w:hAnsi="Times New Roman;Times;Serif"/>
          <w:b w:val="false"/>
          <w:i w:val="false"/>
          <w:caps w:val="false"/>
          <w:smallCaps w:val="false"/>
          <w:sz w:val="20"/>
        </w:rPr>
        <w:t>13,989,115 shares of Company’s common stock at an exercise price of $</w:t>
      </w:r>
      <w:bookmarkStart w:id="342" w:name="xdx_903_eus-gaap--SharePrice_iI_pid_c202"/>
      <w:bookmarkEnd w:id="342"/>
      <w:r>
        <w:rPr>
          <w:rFonts w:ascii="Times New Roman;Times;Serif" w:hAnsi="Times New Roman;Times;Serif"/>
          <w:b w:val="false"/>
          <w:i w:val="false"/>
          <w:caps w:val="false"/>
          <w:smallCaps w:val="false"/>
          <w:sz w:val="20"/>
        </w:rPr>
        <w:t>4.50 per share (collectively, the “Inducement Transaction”). The New Preferred Investment Options are exercisable beginning six months after issuance and will expire two years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first closing of the Inducement Transaction, which occurred on September 16, 2025, certain Holders exercised Existing Preferred Investment Options to purchase up to an aggregate of </w:t>
      </w:r>
      <w:bookmarkStart w:id="343" w:name="xdx_908_eus-gaap--StockIssuedDuringPerio"/>
      <w:bookmarkEnd w:id="343"/>
      <w:r>
        <w:rPr>
          <w:rFonts w:ascii="Times New Roman;Times;Serif" w:hAnsi="Times New Roman;Times;Serif"/>
          <w:b w:val="false"/>
          <w:i w:val="false"/>
          <w:caps w:val="false"/>
          <w:smallCaps w:val="false"/>
          <w:sz w:val="20"/>
        </w:rPr>
        <w:t xml:space="preserve">12,064,627 shares of Company’s common stock for cash and received New Preferred Investment Options to purchase up to an aggregate of </w:t>
      </w:r>
      <w:bookmarkStart w:id="344" w:name="xdx_907_eus-gaap--StockIssuedDuringPerio"/>
      <w:bookmarkEnd w:id="344"/>
      <w:r>
        <w:rPr>
          <w:rFonts w:ascii="Times New Roman;Times;Serif" w:hAnsi="Times New Roman;Times;Serif"/>
          <w:b w:val="false"/>
          <w:i w:val="false"/>
          <w:caps w:val="false"/>
          <w:smallCaps w:val="false"/>
          <w:sz w:val="20"/>
        </w:rPr>
        <w:t xml:space="preserve">12,064,627 shares of Company’s common stock. At the second closing of the Inducement Transaction on September 29, 2025, a certain Holder exercised Existing Preferred Investment Options to purchase </w:t>
      </w:r>
      <w:bookmarkStart w:id="345" w:name="xdx_900_eus-gaap--StockIssuedDuringPerio"/>
      <w:bookmarkEnd w:id="345"/>
      <w:r>
        <w:rPr>
          <w:rFonts w:ascii="Times New Roman;Times;Serif" w:hAnsi="Times New Roman;Times;Serif"/>
          <w:b w:val="false"/>
          <w:i w:val="false"/>
          <w:caps w:val="false"/>
          <w:smallCaps w:val="false"/>
          <w:sz w:val="20"/>
        </w:rPr>
        <w:t xml:space="preserve">600,000 shares of Company’s common stock for cash and received New Preferred Investment Options to purchase up to </w:t>
      </w:r>
      <w:bookmarkStart w:id="346" w:name="xdx_90E_eus-gaap--StockIssuedDuringPerio"/>
      <w:bookmarkEnd w:id="346"/>
      <w:r>
        <w:rPr>
          <w:rFonts w:ascii="Times New Roman;Times;Serif" w:hAnsi="Times New Roman;Times;Serif"/>
          <w:b w:val="false"/>
          <w:i w:val="false"/>
          <w:caps w:val="false"/>
          <w:smallCaps w:val="false"/>
          <w:sz w:val="20"/>
        </w:rPr>
        <w:t xml:space="preserve">600,000 shares of Company’s common stock. At the third closing of the Inducement Transaction, which occurred on October 6, 2025, certain Holders exercised Existing Preferred Investment Options to purchase up to an aggregate of </w:t>
      </w:r>
      <w:bookmarkStart w:id="347" w:name="xdx_900_eus-gaap--StockIssuedDuringPerio"/>
      <w:bookmarkEnd w:id="347"/>
      <w:r>
        <w:rPr>
          <w:rFonts w:ascii="Times New Roman;Times;Serif" w:hAnsi="Times New Roman;Times;Serif"/>
          <w:b w:val="false"/>
          <w:i w:val="false"/>
          <w:caps w:val="false"/>
          <w:smallCaps w:val="false"/>
          <w:sz w:val="20"/>
        </w:rPr>
        <w:t xml:space="preserve">1,324,488 shares of Company’s common stock for cash and received New Preferred Investment Options to purchase up to an aggregate of </w:t>
      </w:r>
      <w:bookmarkStart w:id="348" w:name="xdx_90B_eus-gaap--StockIssuedDuringPerio"/>
      <w:bookmarkEnd w:id="348"/>
      <w:r>
        <w:rPr>
          <w:rFonts w:ascii="Times New Roman;Times;Serif" w:hAnsi="Times New Roman;Times;Serif"/>
          <w:b w:val="false"/>
          <w:i w:val="false"/>
          <w:caps w:val="false"/>
          <w:smallCaps w:val="false"/>
          <w:sz w:val="20"/>
        </w:rPr>
        <w:t>1,324,488 shares of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aggregate gross proceeds of approximately $</w:t>
      </w:r>
      <w:bookmarkStart w:id="349" w:name="xdx_90E_eus-gaap--ProceedsFromOtherEquit"/>
      <w:bookmarkEnd w:id="349"/>
      <w:r>
        <w:rPr>
          <w:rFonts w:ascii="Times New Roman;Times;Serif" w:hAnsi="Times New Roman;Times;Serif"/>
          <w:b w:val="false"/>
          <w:i w:val="false"/>
          <w:caps w:val="false"/>
          <w:smallCaps w:val="false"/>
          <w:sz w:val="20"/>
        </w:rPr>
        <w:t>29,286 from the exercise of the Existing Preferred Investment Options at the closings, before deducting placement agent fees and other offering expenses of approximately $</w:t>
      </w:r>
      <w:bookmarkStart w:id="350" w:name="xdx_90D_ecustom--InducementTransactionCo"/>
      <w:bookmarkEnd w:id="350"/>
      <w:r>
        <w:rPr>
          <w:rFonts w:ascii="Times New Roman;Times;Serif" w:hAnsi="Times New Roman;Times;Serif"/>
          <w:b w:val="false"/>
          <w:i w:val="false"/>
          <w:caps w:val="false"/>
          <w:smallCaps w:val="false"/>
          <w:sz w:val="20"/>
        </w:rPr>
        <w:t>2,472, of which $</w:t>
      </w:r>
      <w:bookmarkStart w:id="351" w:name="xdx_909_ecustom--UnpaidAmount_iI_pn3n3_c"/>
      <w:bookmarkEnd w:id="351"/>
      <w:r>
        <w:rPr>
          <w:rFonts w:ascii="Times New Roman;Times;Serif" w:hAnsi="Times New Roman;Times;Serif"/>
          <w:b w:val="false"/>
          <w:i w:val="false"/>
          <w:caps w:val="false"/>
          <w:smallCaps w:val="false"/>
          <w:sz w:val="20"/>
        </w:rPr>
        <w:t xml:space="preserve">101 had not been paid as of June 30, 2026. Additionally, as a result of the Inducement Transaction, and in accordance with the Company’s engagement letters with its placement agent, as mentioned in Note 3D, the Company issued an aggregate of </w:t>
      </w:r>
      <w:bookmarkStart w:id="352" w:name="xdx_906_eus-gaap--StockIssuedDuringPerio"/>
      <w:bookmarkEnd w:id="352"/>
      <w:r>
        <w:rPr>
          <w:rFonts w:ascii="Times New Roman;Times;Serif" w:hAnsi="Times New Roman;Times;Serif"/>
          <w:b w:val="false"/>
          <w:i w:val="false"/>
          <w:caps w:val="false"/>
          <w:smallCaps w:val="false"/>
          <w:sz w:val="20"/>
        </w:rPr>
        <w:t>699,456 placement agent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inducement occurred concurrently with a fund raising. Pursuant to the guidance of ASC 480 and ASC 815 the warrants were classified as equity instruments before and after the warrant modification. In accordance with ASC Topic 815 guidance on equity classified warrant modifications, the incremental change in fair value of the warrants was accounted as an equity issuance cost, which was recorded to additional paid-in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Employee Stock Option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that </w:t>
            </w:r>
            <w:bookmarkStart w:id="353" w:name="xdx_90B_eus-gaap--SharebasedCompensation"/>
            <w:bookmarkEnd w:id="353"/>
            <w:r>
              <w:rPr>
                <w:rFonts w:ascii="Times New Roman;Times;Serif" w:hAnsi="Times New Roman;Times;Serif"/>
                <w:b w:val="false"/>
                <w:i w:val="false"/>
                <w:caps w:val="false"/>
                <w:smallCaps w:val="false"/>
                <w:sz w:val="20"/>
              </w:rPr>
              <w:t xml:space="preserve">35,625 out of </w:t>
            </w:r>
            <w:bookmarkStart w:id="354" w:name="xdx_903_eus-gaap--ShareBasedCompensation"/>
            <w:bookmarkEnd w:id="354"/>
            <w:r>
              <w:rPr>
                <w:rFonts w:ascii="Times New Roman;Times;Serif" w:hAnsi="Times New Roman;Times;Serif"/>
                <w:b w:val="false"/>
                <w:i w:val="false"/>
                <w:caps w:val="false"/>
                <w:smallCaps w:val="false"/>
                <w:sz w:val="20"/>
              </w:rPr>
              <w:t xml:space="preserve">132,500 performance-based options granted in February 2024 had met their milestones and been vested, while the remainder </w:t>
            </w:r>
            <w:bookmarkStart w:id="355" w:name="xdx_90A_eus-gaap--SharebasedCompensation"/>
            <w:bookmarkEnd w:id="355"/>
            <w:r>
              <w:rPr>
                <w:rFonts w:ascii="Times New Roman;Times;Serif" w:hAnsi="Times New Roman;Times;Serif"/>
                <w:b w:val="false"/>
                <w:i w:val="false"/>
                <w:caps w:val="false"/>
                <w:smallCaps w:val="false"/>
                <w:sz w:val="20"/>
              </w:rPr>
              <w:t>96,875 options which did not meet their milestones had been forfeited.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annual meeting of stockholders, an amendment to the Company’s 2020 Omnibus Performance Award Plan (as amended) was approved. This amendment increased the number of shares of common stock authorized and reserved for issuance under the plan by </w:t>
            </w:r>
            <w:bookmarkStart w:id="356" w:name="xdx_902_eus-gaap--CommonStockCapitalShar"/>
            <w:bookmarkEnd w:id="356"/>
            <w:r>
              <w:rPr>
                <w:rFonts w:ascii="Times New Roman;Times;Serif" w:hAnsi="Times New Roman;Times;Serif"/>
                <w:b w:val="false"/>
                <w:i w:val="false"/>
                <w:caps w:val="false"/>
                <w:smallCaps w:val="false"/>
                <w:sz w:val="20"/>
              </w:rPr>
              <w:t>2,591,019 shares.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other executives and certain employees, and certain board members </w:t>
            </w:r>
            <w:bookmarkStart w:id="357" w:name="xdx_907_eus-gaap--ShareBasedCompensation"/>
            <w:bookmarkEnd w:id="357"/>
            <w:r>
              <w:rPr>
                <w:rFonts w:ascii="Times New Roman;Times;Serif" w:hAnsi="Times New Roman;Times;Serif"/>
                <w:b w:val="false"/>
                <w:i w:val="false"/>
                <w:caps w:val="false"/>
                <w:smallCaps w:val="false"/>
                <w:sz w:val="20"/>
              </w:rPr>
              <w:t xml:space="preserve">228,000, </w:t>
            </w:r>
            <w:bookmarkStart w:id="358" w:name="xdx_908_eus-gaap--ShareBasedCompensation"/>
            <w:bookmarkEnd w:id="358"/>
            <w:r>
              <w:rPr>
                <w:rFonts w:ascii="Times New Roman;Times;Serif" w:hAnsi="Times New Roman;Times;Serif"/>
                <w:b w:val="false"/>
                <w:i w:val="false"/>
                <w:caps w:val="false"/>
                <w:smallCaps w:val="false"/>
                <w:sz w:val="20"/>
              </w:rPr>
              <w:t xml:space="preserve">483,875 and </w:t>
            </w:r>
            <w:bookmarkStart w:id="359" w:name="xdx_904_eus-gaap--ShareBasedCompensation"/>
            <w:bookmarkEnd w:id="359"/>
            <w:r>
              <w:rPr>
                <w:rFonts w:ascii="Times New Roman;Times;Serif" w:hAnsi="Times New Roman;Times;Serif"/>
                <w:b w:val="false"/>
                <w:i w:val="false"/>
                <w:caps w:val="false"/>
                <w:smallCaps w:val="false"/>
                <w:sz w:val="20"/>
              </w:rPr>
              <w:t>70,000 options, respectively.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former advisor of the Company exercised </w:t>
            </w:r>
            <w:bookmarkStart w:id="360" w:name="xdx_906_eus-gaap--StockIssuedDuringPerio"/>
            <w:bookmarkEnd w:id="360"/>
            <w:r>
              <w:rPr>
                <w:rFonts w:ascii="Times New Roman;Times;Serif" w:hAnsi="Times New Roman;Times;Serif"/>
                <w:b w:val="false"/>
                <w:i w:val="false"/>
                <w:caps w:val="false"/>
                <w:smallCaps w:val="false"/>
                <w:sz w:val="20"/>
              </w:rPr>
              <w:t xml:space="preserve">47,218 vested options at an exercise price of NIS </w:t>
            </w:r>
            <w:bookmarkStart w:id="361" w:name="xdx_900_eus-gaap--ShareBasedCompensation"/>
            <w:bookmarkEnd w:id="361"/>
            <w:r>
              <w:rPr>
                <w:rFonts w:ascii="Times New Roman;Times;Serif" w:hAnsi="Times New Roman;Times;Serif"/>
                <w:b w:val="false"/>
                <w:i w:val="false"/>
                <w:caps w:val="false"/>
                <w:smallCaps w:val="false"/>
                <w:sz w:val="20"/>
              </w:rPr>
              <w:t>0.01 per option. As a result of this exercise, the Company received total consideration of approximately $</w:t>
            </w:r>
            <w:bookmarkStart w:id="362" w:name="xdx_903_eus-gaap--ProceedsFromStockOptio"/>
            <w:bookmarkEnd w:id="362"/>
            <w:r>
              <w:rPr>
                <w:rFonts w:ascii="Times New Roman;Times;Serif" w:hAnsi="Times New Roman;Times;Serif"/>
                <w:b w:val="false"/>
                <w:i w:val="false"/>
                <w:caps w:val="false"/>
                <w:smallCaps w:val="false"/>
                <w:sz w:val="20"/>
              </w:rPr>
              <w:t>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vest over a period of three years as outlined in the option agreements evidencing such option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the CEO, certain employees, and certain board members </w:t>
      </w:r>
      <w:bookmarkStart w:id="363" w:name="xdx_901_eus-gaap--ShareBasedCompensation"/>
      <w:bookmarkEnd w:id="363"/>
      <w:r>
        <w:rPr>
          <w:rFonts w:ascii="Times New Roman;Times;Serif" w:hAnsi="Times New Roman;Times;Serif"/>
          <w:b w:val="false"/>
          <w:i w:val="false"/>
          <w:caps w:val="false"/>
          <w:smallCaps w:val="false"/>
          <w:sz w:val="20"/>
        </w:rPr>
        <w:t xml:space="preserve">480,000, </w:t>
      </w:r>
      <w:bookmarkStart w:id="364" w:name="xdx_901_eus-gaap--ShareBasedCompensation"/>
      <w:bookmarkEnd w:id="364"/>
      <w:r>
        <w:rPr>
          <w:rFonts w:ascii="Times New Roman;Times;Serif" w:hAnsi="Times New Roman;Times;Serif"/>
          <w:b w:val="false"/>
          <w:i w:val="false"/>
          <w:caps w:val="false"/>
          <w:smallCaps w:val="false"/>
          <w:sz w:val="20"/>
        </w:rPr>
        <w:t xml:space="preserve">587,500 and </w:t>
      </w:r>
      <w:bookmarkStart w:id="365" w:name="xdx_909_eus-gaap--ShareBasedCompensation"/>
      <w:bookmarkEnd w:id="365"/>
      <w:r>
        <w:rPr>
          <w:rFonts w:ascii="Times New Roman;Times;Serif" w:hAnsi="Times New Roman;Times;Serif"/>
          <w:b w:val="false"/>
          <w:i w:val="false"/>
          <w:caps w:val="false"/>
          <w:smallCaps w:val="false"/>
          <w:sz w:val="20"/>
        </w:rPr>
        <w:t>60,000 options,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66" w:name="xdx_897_eus-gaap--ScheduleOfStockholders"/>
      <w:bookmarkEnd w:id="366"/>
      <w:r>
        <w:rPr>
          <w:rFonts w:ascii="Times New Roman;Times;Serif" w:hAnsi="Times New Roman;Times;Serif"/>
          <w:b w:val="false"/>
          <w:i w:val="false"/>
          <w:caps w:val="false"/>
          <w:smallCaps w:val="false"/>
          <w:sz w:val="20"/>
        </w:rPr>
        <w:t>The remaining outstanding warrants and terms as of June 30, 2026, and December 31, 2025, are as follows:</w:t>
      </w:r>
    </w:p>
    <w:p>
      <w:pPr>
        <w:pStyle w:val="TextBody"/>
        <w:bidi w:val="0"/>
        <w:spacing w:before="0" w:after="0"/>
        <w:jc w:val="both"/>
        <w:rPr>
          <w:caps w:val="false"/>
          <w:smallCaps w:val="false"/>
        </w:rPr>
      </w:pPr>
      <w:r>
        <w:rPr>
          <w:caps w:val="false"/>
          <w:smallCaps w:val="false"/>
        </w:rPr>
        <w:t> </w:t>
      </w:r>
      <w:bookmarkStart w:id="367" w:name="xdx_8B3_zUrOJ9WqEDlf"/>
      <w:bookmarkEnd w:id="367"/>
      <w:r>
        <w:rPr>
          <w:rFonts w:ascii="Times New Roman;Times;Serif" w:hAnsi="Times New Roman;Times;Serif"/>
          <w:b w:val="false"/>
          <w:i w:val="false"/>
          <w:caps w:val="false"/>
          <w:smallCaps w:val="false"/>
          <w:sz w:val="20"/>
        </w:rPr>
        <w:t>SCHEDULE OF WARRANTS OUTSTANDING</w:t>
      </w:r>
    </w:p>
    <w:tbl>
      <w:tblPr>
        <w:tblW w:w="10103" w:type="dxa"/>
        <w:jc w:val="left"/>
        <w:tblInd w:w="0" w:type="dxa"/>
        <w:tblLayout w:type="fixed"/>
        <w:tblCellMar>
          <w:top w:w="0" w:type="dxa"/>
          <w:left w:w="0" w:type="dxa"/>
          <w:bottom w:w="28" w:type="dxa"/>
          <w:right w:w="0" w:type="dxa"/>
        </w:tblCellMar>
      </w:tblPr>
      <w:tblGrid>
        <w:gridCol w:w="3890"/>
        <w:gridCol w:w="60"/>
        <w:gridCol w:w="75"/>
        <w:gridCol w:w="1384"/>
        <w:gridCol w:w="60"/>
        <w:gridCol w:w="60"/>
        <w:gridCol w:w="84"/>
        <w:gridCol w:w="1555"/>
        <w:gridCol w:w="60"/>
        <w:gridCol w:w="60"/>
        <w:gridCol w:w="182"/>
        <w:gridCol w:w="573"/>
        <w:gridCol w:w="60"/>
        <w:gridCol w:w="60"/>
        <w:gridCol w:w="1940"/>
      </w:tblGrid>
      <w:tr>
        <w:trPr/>
        <w:tc>
          <w:tcPr>
            <w:tcW w:w="3890" w:type="dxa"/>
            <w:tcBorders>
              <w:bottom w:val="single" w:sz="8" w:space="0" w:color="000000"/>
            </w:tcBorders>
            <w:vAlign w:val="center"/>
          </w:tcPr>
          <w:p>
            <w:pPr>
              <w:pStyle w:val="TableContents"/>
              <w:bidi w:val="0"/>
              <w:spacing w:before="0" w:after="283"/>
              <w:jc w:val="center"/>
              <w:rPr>
                <w:b/>
              </w:rPr>
            </w:pPr>
            <w:r>
              <w:rPr>
                <w:b/>
              </w:rPr>
              <w:t>Issuance date</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exercisable as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and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 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68" w:name="xdx_984_eus-gaap--ClassOfWarrantOrRightO"/>
            <w:bookmarkEnd w:id="368"/>
          </w:p>
        </w:tc>
        <w:tc>
          <w:tcPr>
            <w:tcW w:w="1384" w:type="dxa"/>
            <w:tcBorders/>
            <w:shd w:fill="CCEEFF" w:val="clear"/>
            <w:tcMar>
              <w:bottom w:w="0" w:type="dxa"/>
            </w:tcMar>
            <w:vAlign w:val="center"/>
          </w:tcPr>
          <w:p>
            <w:pPr>
              <w:pStyle w:val="TableContents"/>
              <w:bidi w:val="0"/>
              <w:spacing w:before="0" w:after="283"/>
              <w:jc w:val="right"/>
              <w:rPr/>
            </w:pPr>
            <w:r>
              <w:rPr/>
              <w:t>51,125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369" w:name="xdx_98C_eus-gaap--ClassOfWarrantOrRightO"/>
            <w:bookmarkEnd w:id="369"/>
          </w:p>
        </w:tc>
        <w:tc>
          <w:tcPr>
            <w:tcW w:w="1555" w:type="dxa"/>
            <w:tcBorders/>
            <w:shd w:fill="CCEEFF" w:val="clear"/>
            <w:tcMar>
              <w:bottom w:w="0" w:type="dxa"/>
            </w:tcMar>
            <w:vAlign w:val="center"/>
          </w:tcPr>
          <w:p>
            <w:pPr>
              <w:pStyle w:val="TableContents"/>
              <w:bidi w:val="0"/>
              <w:spacing w:before="0" w:after="283"/>
              <w:jc w:val="right"/>
              <w:rPr/>
            </w:pPr>
            <w:r>
              <w:rPr/>
              <w:t>51,125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370" w:name="xdx_989_eus-gaap--ClassOfWarrantOrRightE"/>
            <w:bookmarkEnd w:id="370"/>
          </w:p>
        </w:tc>
        <w:tc>
          <w:tcPr>
            <w:tcW w:w="573" w:type="dxa"/>
            <w:tcBorders/>
            <w:shd w:fill="CCEEFF" w:val="clear"/>
            <w:tcMar>
              <w:bottom w:w="0" w:type="dxa"/>
            </w:tcMar>
            <w:vAlign w:val="center"/>
          </w:tcPr>
          <w:p>
            <w:pPr>
              <w:pStyle w:val="TableContents"/>
              <w:bidi w:val="0"/>
              <w:spacing w:before="0" w:after="283"/>
              <w:jc w:val="right"/>
              <w:rPr/>
            </w:pPr>
            <w:r>
              <w:rPr/>
              <w:t>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371" w:name="xdx_906_eus-gaap--ClassOfWarrantOrRighst"/>
            <w:bookmarkEnd w:id="371"/>
            <w:r>
              <w:rPr/>
              <w:t>October 21, 2027</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May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372" w:name="xdx_989_eus-gaap--ClassOfWarrantOrRightO"/>
            <w:bookmarkEnd w:id="372"/>
          </w:p>
        </w:tc>
        <w:tc>
          <w:tcPr>
            <w:tcW w:w="1384" w:type="dxa"/>
            <w:tcBorders/>
            <w:shd w:fill="FFFFFF" w:val="clear"/>
            <w:tcMar>
              <w:bottom w:w="0" w:type="dxa"/>
            </w:tcMar>
            <w:vAlign w:val="center"/>
          </w:tcPr>
          <w:p>
            <w:pPr>
              <w:pStyle w:val="TableContents"/>
              <w:bidi w:val="0"/>
              <w:spacing w:before="0" w:after="283"/>
              <w:jc w:val="right"/>
              <w:rPr/>
            </w:pPr>
            <w:r>
              <w:rPr/>
              <w:t>32,778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373" w:name="xdx_983_eus-gaap--ClassOfWarrantOrRightO"/>
            <w:bookmarkEnd w:id="373"/>
          </w:p>
        </w:tc>
        <w:tc>
          <w:tcPr>
            <w:tcW w:w="1555" w:type="dxa"/>
            <w:tcBorders/>
            <w:shd w:fill="FFFFFF" w:val="clear"/>
            <w:tcMar>
              <w:bottom w:w="0" w:type="dxa"/>
            </w:tcMar>
            <w:vAlign w:val="center"/>
          </w:tcPr>
          <w:p>
            <w:pPr>
              <w:pStyle w:val="TableContents"/>
              <w:bidi w:val="0"/>
              <w:spacing w:before="0" w:after="283"/>
              <w:jc w:val="right"/>
              <w:rPr/>
            </w:pPr>
            <w:r>
              <w:rPr/>
              <w:t>32,778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374" w:name="xdx_98F_eus-gaap--ClassOfWarrantOrRightE"/>
            <w:bookmarkEnd w:id="374"/>
          </w:p>
        </w:tc>
        <w:tc>
          <w:tcPr>
            <w:tcW w:w="573" w:type="dxa"/>
            <w:tcBorders/>
            <w:shd w:fill="FFFFFF" w:val="clear"/>
            <w:tcMar>
              <w:bottom w:w="0" w:type="dxa"/>
            </w:tcMar>
            <w:vAlign w:val="center"/>
          </w:tcPr>
          <w:p>
            <w:pPr>
              <w:pStyle w:val="TableContents"/>
              <w:bidi w:val="0"/>
              <w:spacing w:before="0" w:after="283"/>
              <w:jc w:val="right"/>
              <w:rPr/>
            </w:pPr>
            <w:r>
              <w:rPr/>
              <w:t>2.75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375" w:name="xdx_900_eus-gaap--ClassOfWarrantOrRighst"/>
            <w:bookmarkEnd w:id="375"/>
            <w:r>
              <w:rPr/>
              <w:t>November 23, 2026</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May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76" w:name="xdx_98E_eus-gaap--ClassOfWarrantOrRightO"/>
            <w:bookmarkEnd w:id="376"/>
          </w:p>
        </w:tc>
        <w:tc>
          <w:tcPr>
            <w:tcW w:w="1384" w:type="dxa"/>
            <w:tcBorders/>
            <w:shd w:fill="CCEEFF" w:val="clear"/>
            <w:tcMar>
              <w:bottom w:w="0" w:type="dxa"/>
            </w:tcMar>
            <w:vAlign w:val="center"/>
          </w:tcPr>
          <w:p>
            <w:pPr>
              <w:pStyle w:val="TableContents"/>
              <w:bidi w:val="0"/>
              <w:spacing w:before="0" w:after="283"/>
              <w:jc w:val="right"/>
              <w:rPr/>
            </w:pPr>
            <w:r>
              <w:rPr/>
              <w:t>60,476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377" w:name="xdx_984_eus-gaap--ClassOfWarrantOrRightO"/>
            <w:bookmarkEnd w:id="377"/>
          </w:p>
        </w:tc>
        <w:tc>
          <w:tcPr>
            <w:tcW w:w="1555" w:type="dxa"/>
            <w:tcBorders/>
            <w:shd w:fill="CCEEFF" w:val="clear"/>
            <w:tcMar>
              <w:bottom w:w="0" w:type="dxa"/>
            </w:tcMar>
            <w:vAlign w:val="center"/>
          </w:tcPr>
          <w:p>
            <w:pPr>
              <w:pStyle w:val="TableContents"/>
              <w:bidi w:val="0"/>
              <w:spacing w:before="0" w:after="283"/>
              <w:jc w:val="right"/>
              <w:rPr/>
            </w:pPr>
            <w:r>
              <w:rPr/>
              <w:t>60,476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378" w:name="xdx_986_eus-gaap--ClassOfWarrantOrRightE"/>
            <w:bookmarkEnd w:id="378"/>
          </w:p>
        </w:tc>
        <w:tc>
          <w:tcPr>
            <w:tcW w:w="573" w:type="dxa"/>
            <w:tcBorders/>
            <w:shd w:fill="CCEEFF" w:val="clear"/>
            <w:tcMar>
              <w:bottom w:w="0" w:type="dxa"/>
            </w:tcMar>
            <w:vAlign w:val="center"/>
          </w:tcPr>
          <w:p>
            <w:pPr>
              <w:pStyle w:val="TableContents"/>
              <w:bidi w:val="0"/>
              <w:spacing w:before="0" w:after="283"/>
              <w:jc w:val="right"/>
              <w:rPr/>
            </w:pPr>
            <w:r>
              <w:rPr/>
              <w:t>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379" w:name="xdx_909_eus-gaap--ClassOfWarrantOrRighst"/>
            <w:bookmarkEnd w:id="379"/>
            <w:r>
              <w:rPr/>
              <w:t>November 24, 2026</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380" w:name="xdx_981_eus-gaap--ClassOfWarrantOrRightO"/>
            <w:bookmarkEnd w:id="380"/>
          </w:p>
        </w:tc>
        <w:tc>
          <w:tcPr>
            <w:tcW w:w="1384" w:type="dxa"/>
            <w:tcBorders/>
            <w:shd w:fill="FFFFFF" w:val="clear"/>
            <w:tcMar>
              <w:bottom w:w="0" w:type="dxa"/>
            </w:tcMar>
            <w:vAlign w:val="center"/>
          </w:tcPr>
          <w:p>
            <w:pPr>
              <w:pStyle w:val="TableContents"/>
              <w:bidi w:val="0"/>
              <w:spacing w:before="0" w:after="283"/>
              <w:jc w:val="right"/>
              <w:rPr/>
            </w:pPr>
            <w:r>
              <w:rPr/>
              <w:t>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381" w:name="xdx_98C_eus-gaap--ClassOfWarrantOrRightO"/>
            <w:bookmarkEnd w:id="381"/>
          </w:p>
        </w:tc>
        <w:tc>
          <w:tcPr>
            <w:tcW w:w="1555" w:type="dxa"/>
            <w:tcBorders/>
            <w:shd w:fill="FFFFFF" w:val="clear"/>
            <w:tcMar>
              <w:bottom w:w="0" w:type="dxa"/>
            </w:tcMar>
            <w:vAlign w:val="center"/>
          </w:tcPr>
          <w:p>
            <w:pPr>
              <w:pStyle w:val="TableContents"/>
              <w:bidi w:val="0"/>
              <w:spacing w:before="0" w:after="283"/>
              <w:jc w:val="right"/>
              <w:rPr/>
            </w:pPr>
            <w:r>
              <w:rPr/>
              <w:t>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382" w:name="xdx_98D_eus-gaap--ClassOfWarrantOrRightE"/>
            <w:bookmarkEnd w:id="382"/>
          </w:p>
        </w:tc>
        <w:tc>
          <w:tcPr>
            <w:tcW w:w="573" w:type="dxa"/>
            <w:tcBorders/>
            <w:shd w:fill="FFFFFF" w:val="clear"/>
            <w:tcMar>
              <w:bottom w:w="0" w:type="dxa"/>
            </w:tcMar>
            <w:vAlign w:val="center"/>
          </w:tcPr>
          <w:p>
            <w:pPr>
              <w:pStyle w:val="TableContents"/>
              <w:bidi w:val="0"/>
              <w:spacing w:before="0" w:after="283"/>
              <w:jc w:val="right"/>
              <w:rPr/>
            </w:pPr>
            <w:r>
              <w:rPr/>
              <w:t>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383" w:name="xdx_90A_eus-gaap--ClassOfWarrantOrRighst"/>
            <w:bookmarkEnd w:id="383"/>
            <w:r>
              <w:rPr/>
              <w:t>June 2, 2028</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84" w:name="xdx_98E_eus-gaap--ClassOfWarrantOrRightO"/>
            <w:bookmarkEnd w:id="384"/>
          </w:p>
        </w:tc>
        <w:tc>
          <w:tcPr>
            <w:tcW w:w="1384"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385" w:name="xdx_983_eus-gaap--ClassOfWarrantOrRightO"/>
            <w:bookmarkEnd w:id="385"/>
          </w:p>
        </w:tc>
        <w:tc>
          <w:tcPr>
            <w:tcW w:w="1555"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386" w:name="xdx_98D_eus-gaap--ClassOfWarrantOrRightE"/>
            <w:bookmarkEnd w:id="386"/>
          </w:p>
        </w:tc>
        <w:tc>
          <w:tcPr>
            <w:tcW w:w="573" w:type="dxa"/>
            <w:tcBorders/>
            <w:shd w:fill="CCEEFF" w:val="clear"/>
            <w:tcMar>
              <w:bottom w:w="0" w:type="dxa"/>
            </w:tcMar>
            <w:vAlign w:val="center"/>
          </w:tcPr>
          <w:p>
            <w:pPr>
              <w:pStyle w:val="TableContents"/>
              <w:bidi w:val="0"/>
              <w:spacing w:before="0" w:after="283"/>
              <w:jc w:val="right"/>
              <w:rPr/>
            </w:pPr>
            <w:r>
              <w:rPr/>
              <w:t>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387" w:name="xdx_90E_eus-gaap--ClassOfWarrantOrRighst"/>
            <w:bookmarkEnd w:id="387"/>
            <w:r>
              <w:rPr/>
              <w:t>June 28, 2028</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January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388" w:name="xdx_98C_eus-gaap--ClassOfWarrantOrRightO"/>
            <w:bookmarkEnd w:id="388"/>
          </w:p>
        </w:tc>
        <w:tc>
          <w:tcPr>
            <w:tcW w:w="1384" w:type="dxa"/>
            <w:tcBorders/>
            <w:shd w:fill="FFFFFF" w:val="clear"/>
            <w:tcMar>
              <w:bottom w:w="0" w:type="dxa"/>
            </w:tcMar>
            <w:vAlign w:val="center"/>
          </w:tcPr>
          <w:p>
            <w:pPr>
              <w:pStyle w:val="TableContents"/>
              <w:bidi w:val="0"/>
              <w:spacing w:before="0" w:after="283"/>
              <w:jc w:val="right"/>
              <w:rPr/>
            </w:pPr>
            <w:r>
              <w:rPr/>
              <w:t>84,284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389" w:name="xdx_989_eus-gaap--ClassOfWarrantOrRightO"/>
            <w:bookmarkEnd w:id="389"/>
          </w:p>
        </w:tc>
        <w:tc>
          <w:tcPr>
            <w:tcW w:w="1555" w:type="dxa"/>
            <w:tcBorders/>
            <w:shd w:fill="FFFFFF" w:val="clear"/>
            <w:tcMar>
              <w:bottom w:w="0" w:type="dxa"/>
            </w:tcMar>
            <w:vAlign w:val="center"/>
          </w:tcPr>
          <w:p>
            <w:pPr>
              <w:pStyle w:val="TableContents"/>
              <w:bidi w:val="0"/>
              <w:spacing w:before="0" w:after="283"/>
              <w:jc w:val="right"/>
              <w:rPr/>
            </w:pPr>
            <w:r>
              <w:rPr/>
              <w:t>84,284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390" w:name="xdx_98C_eus-gaap--ClassOfWarrantOrRightE"/>
            <w:bookmarkEnd w:id="390"/>
          </w:p>
        </w:tc>
        <w:tc>
          <w:tcPr>
            <w:tcW w:w="573" w:type="dxa"/>
            <w:tcBorders/>
            <w:shd w:fill="FFFFFF" w:val="clear"/>
            <w:tcMar>
              <w:bottom w:w="0" w:type="dxa"/>
            </w:tcMar>
            <w:vAlign w:val="center"/>
          </w:tcPr>
          <w:p>
            <w:pPr>
              <w:pStyle w:val="TableContents"/>
              <w:bidi w:val="0"/>
              <w:spacing w:before="0" w:after="283"/>
              <w:jc w:val="right"/>
              <w:rPr/>
            </w:pPr>
            <w:r>
              <w:rPr/>
              <w:t>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391" w:name="xdx_904_eus-gaap--ClassOfWarrantOrRighst"/>
            <w:bookmarkEnd w:id="391"/>
            <w:r>
              <w:rPr/>
              <w:t>July 3, 2029</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June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92" w:name="xdx_98C_eus-gaap--ClassOfWarrantOrRightO"/>
            <w:bookmarkEnd w:id="392"/>
          </w:p>
        </w:tc>
        <w:tc>
          <w:tcPr>
            <w:tcW w:w="138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393" w:name="xdx_988_eus-gaap--ClassOfWarrantOrRightO"/>
            <w:bookmarkEnd w:id="393"/>
          </w:p>
        </w:tc>
        <w:tc>
          <w:tcPr>
            <w:tcW w:w="1555" w:type="dxa"/>
            <w:tcBorders/>
            <w:shd w:fill="CCEEFF" w:val="clear"/>
            <w:tcMar>
              <w:bottom w:w="0" w:type="dxa"/>
            </w:tcMar>
            <w:vAlign w:val="center"/>
          </w:tcPr>
          <w:p>
            <w:pPr>
              <w:pStyle w:val="TableContents"/>
              <w:bidi w:val="0"/>
              <w:spacing w:before="0" w:after="283"/>
              <w:jc w:val="right"/>
              <w:rPr/>
            </w:pPr>
            <w:r>
              <w:rPr/>
              <w:t>28,102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394" w:name="xdx_983_eus-gaap--ClassOfWarrantOrRightE"/>
            <w:bookmarkEnd w:id="394"/>
          </w:p>
        </w:tc>
        <w:tc>
          <w:tcPr>
            <w:tcW w:w="573"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395" w:name="xdx_900_eus-gaap--ClassOfWarrantOrRighst"/>
            <w:bookmarkEnd w:id="395"/>
            <w:r>
              <w:rPr/>
              <w:t>June 3, 2026</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January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396" w:name="xdx_98F_eus-gaap--ClassOfWarrantOrRightO"/>
            <w:bookmarkEnd w:id="396"/>
          </w:p>
        </w:tc>
        <w:tc>
          <w:tcPr>
            <w:tcW w:w="1384" w:type="dxa"/>
            <w:tcBorders/>
            <w:shd w:fill="FFFFFF" w:val="clear"/>
            <w:tcMar>
              <w:bottom w:w="0" w:type="dxa"/>
            </w:tcMar>
            <w:vAlign w:val="center"/>
          </w:tcPr>
          <w:p>
            <w:pPr>
              <w:pStyle w:val="TableContents"/>
              <w:bidi w:val="0"/>
              <w:spacing w:before="0" w:after="283"/>
              <w:jc w:val="right"/>
              <w:rPr/>
            </w:pPr>
            <w:r>
              <w:rPr/>
              <w:t>71,750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397" w:name="xdx_98F_eus-gaap--ClassOfWarrantOrRightO"/>
            <w:bookmarkEnd w:id="397"/>
          </w:p>
        </w:tc>
        <w:tc>
          <w:tcPr>
            <w:tcW w:w="1555" w:type="dxa"/>
            <w:tcBorders/>
            <w:shd w:fill="FFFFFF" w:val="clear"/>
            <w:tcMar>
              <w:bottom w:w="0" w:type="dxa"/>
            </w:tcMar>
            <w:vAlign w:val="center"/>
          </w:tcPr>
          <w:p>
            <w:pPr>
              <w:pStyle w:val="TableContents"/>
              <w:bidi w:val="0"/>
              <w:spacing w:before="0" w:after="283"/>
              <w:jc w:val="right"/>
              <w:rPr/>
            </w:pPr>
            <w:r>
              <w:rPr/>
              <w:t>71,750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398" w:name="xdx_980_eus-gaap--ClassOfWarrantOrRightE"/>
            <w:bookmarkEnd w:id="398"/>
          </w:p>
        </w:tc>
        <w:tc>
          <w:tcPr>
            <w:tcW w:w="573" w:type="dxa"/>
            <w:tcBorders/>
            <w:shd w:fill="FFFFFF" w:val="clear"/>
            <w:tcMar>
              <w:bottom w:w="0" w:type="dxa"/>
            </w:tcMar>
            <w:vAlign w:val="center"/>
          </w:tcPr>
          <w:p>
            <w:pPr>
              <w:pStyle w:val="TableContents"/>
              <w:bidi w:val="0"/>
              <w:spacing w:before="0" w:after="283"/>
              <w:jc w:val="right"/>
              <w:rPr/>
            </w:pPr>
            <w:r>
              <w:rPr/>
              <w:t>2.19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399" w:name="xdx_909_eus-gaap--ClassOfWarrantOrRighst"/>
            <w:bookmarkEnd w:id="399"/>
            <w:r>
              <w:rPr/>
              <w:t>January 7, 2027</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January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00" w:name="xdx_989_eus-gaap--ClassOfWarrantOrRightO"/>
            <w:bookmarkEnd w:id="400"/>
          </w:p>
        </w:tc>
        <w:tc>
          <w:tcPr>
            <w:tcW w:w="1384" w:type="dxa"/>
            <w:tcBorders/>
            <w:shd w:fill="CCEEFF" w:val="clear"/>
            <w:tcMar>
              <w:bottom w:w="0" w:type="dxa"/>
            </w:tcMar>
            <w:vAlign w:val="center"/>
          </w:tcPr>
          <w:p>
            <w:pPr>
              <w:pStyle w:val="TableContents"/>
              <w:bidi w:val="0"/>
              <w:spacing w:before="0" w:after="283"/>
              <w:jc w:val="right"/>
              <w:rPr/>
            </w:pPr>
            <w:r>
              <w:rPr/>
              <w:t>189,428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01" w:name="xdx_988_eus-gaap--ClassOfWarrantOrRightO"/>
            <w:bookmarkEnd w:id="401"/>
          </w:p>
        </w:tc>
        <w:tc>
          <w:tcPr>
            <w:tcW w:w="1555" w:type="dxa"/>
            <w:tcBorders/>
            <w:shd w:fill="CCEEFF" w:val="clear"/>
            <w:tcMar>
              <w:bottom w:w="0" w:type="dxa"/>
            </w:tcMar>
            <w:vAlign w:val="center"/>
          </w:tcPr>
          <w:p>
            <w:pPr>
              <w:pStyle w:val="TableContents"/>
              <w:bidi w:val="0"/>
              <w:spacing w:before="0" w:after="283"/>
              <w:jc w:val="right"/>
              <w:rPr/>
            </w:pPr>
            <w:r>
              <w:rPr/>
              <w:t>189,428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02" w:name="xdx_981_eus-gaap--ClassOfWarrantOrRightE"/>
            <w:bookmarkEnd w:id="402"/>
          </w:p>
        </w:tc>
        <w:tc>
          <w:tcPr>
            <w:tcW w:w="573" w:type="dxa"/>
            <w:tcBorders/>
            <w:shd w:fill="CCEEFF" w:val="clear"/>
            <w:tcMar>
              <w:bottom w:w="0" w:type="dxa"/>
            </w:tcMar>
            <w:vAlign w:val="center"/>
          </w:tcPr>
          <w:p>
            <w:pPr>
              <w:pStyle w:val="TableContents"/>
              <w:bidi w:val="0"/>
              <w:spacing w:before="0" w:after="283"/>
              <w:jc w:val="right"/>
              <w:rPr/>
            </w:pPr>
            <w:r>
              <w:rPr/>
              <w:t>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03" w:name="xdx_902_eus-gaap--ClassOfWarrantOrRighst"/>
            <w:bookmarkEnd w:id="403"/>
            <w:r>
              <w:rPr/>
              <w:t>January 10, 2027</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January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04" w:name="xdx_98F_eus-gaap--ClassOfWarrantOrRightO"/>
            <w:bookmarkEnd w:id="404"/>
          </w:p>
        </w:tc>
        <w:tc>
          <w:tcPr>
            <w:tcW w:w="1384" w:type="dxa"/>
            <w:tcBorders/>
            <w:shd w:fill="FFFFFF" w:val="clear"/>
            <w:tcMar>
              <w:bottom w:w="0" w:type="dxa"/>
            </w:tcMar>
            <w:vAlign w:val="center"/>
          </w:tcPr>
          <w:p>
            <w:pPr>
              <w:pStyle w:val="TableContents"/>
              <w:bidi w:val="0"/>
              <w:spacing w:before="0" w:after="283"/>
              <w:jc w:val="right"/>
              <w:rPr/>
            </w:pPr>
            <w:r>
              <w:rPr/>
              <w:t>30,526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05" w:name="xdx_980_eus-gaap--ClassOfWarrantOrRightO"/>
            <w:bookmarkEnd w:id="405"/>
          </w:p>
        </w:tc>
        <w:tc>
          <w:tcPr>
            <w:tcW w:w="1555" w:type="dxa"/>
            <w:tcBorders/>
            <w:shd w:fill="FFFFFF" w:val="clear"/>
            <w:tcMar>
              <w:bottom w:w="0" w:type="dxa"/>
            </w:tcMar>
            <w:vAlign w:val="center"/>
          </w:tcPr>
          <w:p>
            <w:pPr>
              <w:pStyle w:val="TableContents"/>
              <w:bidi w:val="0"/>
              <w:spacing w:before="0" w:after="283"/>
              <w:jc w:val="right"/>
              <w:rPr/>
            </w:pPr>
            <w:r>
              <w:rPr/>
              <w:t>30,526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06" w:name="xdx_982_eus-gaap--ClassOfWarrantOrRightE"/>
            <w:bookmarkEnd w:id="406"/>
          </w:p>
        </w:tc>
        <w:tc>
          <w:tcPr>
            <w:tcW w:w="573" w:type="dxa"/>
            <w:tcBorders/>
            <w:shd w:fill="FFFFFF" w:val="clear"/>
            <w:tcMar>
              <w:bottom w:w="0" w:type="dxa"/>
            </w:tcMar>
            <w:vAlign w:val="center"/>
          </w:tcPr>
          <w:p>
            <w:pPr>
              <w:pStyle w:val="TableContents"/>
              <w:bidi w:val="0"/>
              <w:spacing w:before="0" w:after="283"/>
              <w:jc w:val="right"/>
              <w:rPr/>
            </w:pPr>
            <w:r>
              <w:rPr/>
              <w:t>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07" w:name="xdx_90E_eus-gaap--ClassOfWarrantOrRighst"/>
            <w:bookmarkEnd w:id="407"/>
            <w:r>
              <w:rPr/>
              <w:t>July 8, 2030</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February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08" w:name="xdx_98B_eus-gaap--ClassOfWarrantOrRightO"/>
            <w:bookmarkEnd w:id="408"/>
          </w:p>
        </w:tc>
        <w:tc>
          <w:tcPr>
            <w:tcW w:w="1384" w:type="dxa"/>
            <w:tcBorders/>
            <w:shd w:fill="CCEEFF" w:val="clear"/>
            <w:tcMar>
              <w:bottom w:w="0" w:type="dxa"/>
            </w:tcMar>
            <w:vAlign w:val="center"/>
          </w:tcPr>
          <w:p>
            <w:pPr>
              <w:pStyle w:val="TableContents"/>
              <w:bidi w:val="0"/>
              <w:spacing w:before="0" w:after="283"/>
              <w:jc w:val="right"/>
              <w:rPr/>
            </w:pPr>
            <w:r>
              <w:rPr/>
              <w:t>109,478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09" w:name="xdx_986_eus-gaap--ClassOfWarrantOrRightO"/>
            <w:bookmarkEnd w:id="409"/>
          </w:p>
        </w:tc>
        <w:tc>
          <w:tcPr>
            <w:tcW w:w="1555" w:type="dxa"/>
            <w:tcBorders/>
            <w:shd w:fill="CCEEFF" w:val="clear"/>
            <w:tcMar>
              <w:bottom w:w="0" w:type="dxa"/>
            </w:tcMar>
            <w:vAlign w:val="center"/>
          </w:tcPr>
          <w:p>
            <w:pPr>
              <w:pStyle w:val="TableContents"/>
              <w:bidi w:val="0"/>
              <w:spacing w:before="0" w:after="283"/>
              <w:jc w:val="right"/>
              <w:rPr/>
            </w:pPr>
            <w:r>
              <w:rPr/>
              <w:t>109,478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10" w:name="xdx_985_eus-gaap--ClassOfWarrantOrRightE"/>
            <w:bookmarkEnd w:id="410"/>
          </w:p>
        </w:tc>
        <w:tc>
          <w:tcPr>
            <w:tcW w:w="573" w:type="dxa"/>
            <w:tcBorders/>
            <w:shd w:fill="CCEEFF" w:val="clear"/>
            <w:tcMar>
              <w:bottom w:w="0" w:type="dxa"/>
            </w:tcMar>
            <w:vAlign w:val="center"/>
          </w:tcPr>
          <w:p>
            <w:pPr>
              <w:pStyle w:val="TableContents"/>
              <w:bidi w:val="0"/>
              <w:spacing w:before="0" w:after="283"/>
              <w:jc w:val="right"/>
              <w:rPr/>
            </w:pPr>
            <w:r>
              <w:rPr/>
              <w:t>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11" w:name="xdx_90B_eus-gaap--ClassOfWarrantOrRighst"/>
            <w:bookmarkEnd w:id="411"/>
            <w:r>
              <w:rPr/>
              <w:t>June 10, 2027</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12" w:name="xdx_986_eus-gaap--ClassOfWarrantOrRightO"/>
            <w:bookmarkEnd w:id="412"/>
          </w:p>
        </w:tc>
        <w:tc>
          <w:tcPr>
            <w:tcW w:w="1384" w:type="dxa"/>
            <w:tcBorders/>
            <w:shd w:fill="FFFFFF" w:val="clear"/>
            <w:tcMar>
              <w:bottom w:w="0" w:type="dxa"/>
            </w:tcMar>
            <w:vAlign w:val="center"/>
          </w:tcPr>
          <w:p>
            <w:pPr>
              <w:pStyle w:val="TableContents"/>
              <w:bidi w:val="0"/>
              <w:spacing w:before="0" w:after="283"/>
              <w:jc w:val="right"/>
              <w:rPr/>
            </w:pPr>
            <w:r>
              <w:rPr/>
              <w:t>10,362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13" w:name="xdx_98D_eus-gaap--ClassOfWarrantOrRightO"/>
            <w:bookmarkEnd w:id="413"/>
          </w:p>
        </w:tc>
        <w:tc>
          <w:tcPr>
            <w:tcW w:w="1555" w:type="dxa"/>
            <w:tcBorders/>
            <w:shd w:fill="FFFFFF" w:val="clear"/>
            <w:tcMar>
              <w:bottom w:w="0" w:type="dxa"/>
            </w:tcMar>
            <w:vAlign w:val="center"/>
          </w:tcPr>
          <w:p>
            <w:pPr>
              <w:pStyle w:val="TableContents"/>
              <w:bidi w:val="0"/>
              <w:spacing w:before="0" w:after="283"/>
              <w:jc w:val="right"/>
              <w:rPr/>
            </w:pPr>
            <w:r>
              <w:rPr/>
              <w:t>10,362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14" w:name="xdx_980_eus-gaap--ClassOfWarrantOrRightE"/>
            <w:bookmarkEnd w:id="414"/>
          </w:p>
        </w:tc>
        <w:tc>
          <w:tcPr>
            <w:tcW w:w="573" w:type="dxa"/>
            <w:tcBorders/>
            <w:shd w:fill="FFFFFF" w:val="clear"/>
            <w:tcMar>
              <w:bottom w:w="0" w:type="dxa"/>
            </w:tcMar>
            <w:vAlign w:val="center"/>
          </w:tcPr>
          <w:p>
            <w:pPr>
              <w:pStyle w:val="TableContents"/>
              <w:bidi w:val="0"/>
              <w:spacing w:before="0" w:after="283"/>
              <w:jc w:val="right"/>
              <w:rPr/>
            </w:pPr>
            <w:r>
              <w:rPr/>
              <w:t>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15" w:name="xdx_90B_eus-gaap--ClassOfWarrantOrRighst"/>
            <w:bookmarkEnd w:id="415"/>
            <w:r>
              <w:rPr/>
              <w:t>March 16, 2028</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16" w:name="xdx_984_eus-gaap--ClassOfWarrantOrRightO"/>
            <w:bookmarkEnd w:id="416"/>
          </w:p>
        </w:tc>
        <w:tc>
          <w:tcPr>
            <w:tcW w:w="1384" w:type="dxa"/>
            <w:tcBorders/>
            <w:shd w:fill="CCEEFF" w:val="clear"/>
            <w:tcMar>
              <w:bottom w:w="0" w:type="dxa"/>
            </w:tcMar>
            <w:vAlign w:val="center"/>
          </w:tcPr>
          <w:p>
            <w:pPr>
              <w:pStyle w:val="TableContents"/>
              <w:bidi w:val="0"/>
              <w:spacing w:before="0" w:after="283"/>
              <w:jc w:val="right"/>
              <w:rPr/>
            </w:pPr>
            <w:r>
              <w:rPr/>
              <w:t>31,429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17" w:name="xdx_98D_eus-gaap--ClassOfWarrantOrRightO"/>
            <w:bookmarkEnd w:id="417"/>
          </w:p>
        </w:tc>
        <w:tc>
          <w:tcPr>
            <w:tcW w:w="1555" w:type="dxa"/>
            <w:tcBorders/>
            <w:shd w:fill="CCEEFF" w:val="clear"/>
            <w:tcMar>
              <w:bottom w:w="0" w:type="dxa"/>
            </w:tcMar>
            <w:vAlign w:val="center"/>
          </w:tcPr>
          <w:p>
            <w:pPr>
              <w:pStyle w:val="TableContents"/>
              <w:bidi w:val="0"/>
              <w:spacing w:before="0" w:after="283"/>
              <w:jc w:val="right"/>
              <w:rPr/>
            </w:pPr>
            <w:r>
              <w:rPr/>
              <w:t>31,429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18" w:name="xdx_98F_eus-gaap--ClassOfWarrantOrRightE"/>
            <w:bookmarkEnd w:id="418"/>
          </w:p>
        </w:tc>
        <w:tc>
          <w:tcPr>
            <w:tcW w:w="573" w:type="dxa"/>
            <w:tcBorders/>
            <w:shd w:fill="CCEEFF" w:val="clear"/>
            <w:tcMar>
              <w:bottom w:w="0" w:type="dxa"/>
            </w:tcMar>
            <w:vAlign w:val="center"/>
          </w:tcPr>
          <w:p>
            <w:pPr>
              <w:pStyle w:val="TableContents"/>
              <w:bidi w:val="0"/>
              <w:spacing w:before="0" w:after="283"/>
              <w:jc w:val="right"/>
              <w:rPr/>
            </w:pPr>
            <w:r>
              <w:rPr/>
              <w:t>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19" w:name="xdx_901_eus-gaap--ClassOfWarrantOrRighst"/>
            <w:bookmarkEnd w:id="419"/>
            <w:r>
              <w:rPr/>
              <w:t>March 16, 2028</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20" w:name="xdx_987_eus-gaap--ClassOfWarrantOrRightO"/>
            <w:bookmarkEnd w:id="420"/>
          </w:p>
        </w:tc>
        <w:tc>
          <w:tcPr>
            <w:tcW w:w="1384" w:type="dxa"/>
            <w:tcBorders/>
            <w:shd w:fill="FFFFFF" w:val="clear"/>
            <w:tcMar>
              <w:bottom w:w="0" w:type="dxa"/>
            </w:tcMar>
            <w:vAlign w:val="center"/>
          </w:tcPr>
          <w:p>
            <w:pPr>
              <w:pStyle w:val="TableContents"/>
              <w:bidi w:val="0"/>
              <w:spacing w:before="0" w:after="283"/>
              <w:jc w:val="right"/>
              <w:rPr/>
            </w:pPr>
            <w:r>
              <w:rPr/>
              <w:t>138,906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21" w:name="xdx_98E_eus-gaap--ClassOfWarrantOrRightO"/>
            <w:bookmarkEnd w:id="421"/>
          </w:p>
        </w:tc>
        <w:tc>
          <w:tcPr>
            <w:tcW w:w="1555" w:type="dxa"/>
            <w:tcBorders/>
            <w:shd w:fill="FFFFFF" w:val="clear"/>
            <w:tcMar>
              <w:bottom w:w="0" w:type="dxa"/>
            </w:tcMar>
            <w:vAlign w:val="center"/>
          </w:tcPr>
          <w:p>
            <w:pPr>
              <w:pStyle w:val="TableContents"/>
              <w:bidi w:val="0"/>
              <w:spacing w:before="0" w:after="283"/>
              <w:jc w:val="right"/>
              <w:rPr/>
            </w:pPr>
            <w:r>
              <w:rPr/>
              <w:t>138,906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22" w:name="xdx_988_eus-gaap--ClassOfWarrantOrRightE"/>
            <w:bookmarkEnd w:id="422"/>
          </w:p>
        </w:tc>
        <w:tc>
          <w:tcPr>
            <w:tcW w:w="573" w:type="dxa"/>
            <w:tcBorders/>
            <w:shd w:fill="FFFFFF" w:val="clear"/>
            <w:tcMar>
              <w:bottom w:w="0" w:type="dxa"/>
            </w:tcMar>
            <w:vAlign w:val="center"/>
          </w:tcPr>
          <w:p>
            <w:pPr>
              <w:pStyle w:val="TableContents"/>
              <w:bidi w:val="0"/>
              <w:spacing w:before="0" w:after="283"/>
              <w:jc w:val="right"/>
              <w:rPr/>
            </w:pPr>
            <w:r>
              <w:rPr/>
              <w:t>2.62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23" w:name="xdx_906_eus-gaap--ClassOfWarrantOrRighst"/>
            <w:bookmarkEnd w:id="423"/>
            <w:r>
              <w:rPr/>
              <w:t>March 16, 2028</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24" w:name="xdx_984_eus-gaap--ClassOfWarrantOrRightO"/>
            <w:bookmarkEnd w:id="424"/>
          </w:p>
        </w:tc>
        <w:tc>
          <w:tcPr>
            <w:tcW w:w="1384" w:type="dxa"/>
            <w:tcBorders/>
            <w:shd w:fill="CCEEFF" w:val="clear"/>
            <w:tcMar>
              <w:bottom w:w="0" w:type="dxa"/>
            </w:tcMar>
            <w:vAlign w:val="center"/>
          </w:tcPr>
          <w:p>
            <w:pPr>
              <w:pStyle w:val="TableContents"/>
              <w:bidi w:val="0"/>
              <w:spacing w:before="0" w:after="283"/>
              <w:jc w:val="right"/>
              <w:rPr/>
            </w:pPr>
            <w:r>
              <w:rPr/>
              <w:t>422,535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25" w:name="xdx_980_eus-gaap--ClassOfWarrantOrRightO"/>
            <w:bookmarkEnd w:id="425"/>
          </w:p>
        </w:tc>
        <w:tc>
          <w:tcPr>
            <w:tcW w:w="1555" w:type="dxa"/>
            <w:tcBorders/>
            <w:shd w:fill="CCEEFF" w:val="clear"/>
            <w:tcMar>
              <w:bottom w:w="0" w:type="dxa"/>
            </w:tcMar>
            <w:vAlign w:val="center"/>
          </w:tcPr>
          <w:p>
            <w:pPr>
              <w:pStyle w:val="TableContents"/>
              <w:bidi w:val="0"/>
              <w:spacing w:before="0" w:after="283"/>
              <w:jc w:val="right"/>
              <w:rPr/>
            </w:pPr>
            <w:r>
              <w:rPr/>
              <w:t>422,535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26" w:name="xdx_98F_eus-gaap--ClassOfWarrantOrRightE"/>
            <w:bookmarkEnd w:id="426"/>
          </w:p>
        </w:tc>
        <w:tc>
          <w:tcPr>
            <w:tcW w:w="573" w:type="dxa"/>
            <w:tcBorders/>
            <w:shd w:fill="CCEEFF" w:val="clear"/>
            <w:tcMar>
              <w:bottom w:w="0" w:type="dxa"/>
            </w:tcMar>
            <w:vAlign w:val="center"/>
          </w:tcPr>
          <w:p>
            <w:pPr>
              <w:pStyle w:val="TableContents"/>
              <w:bidi w:val="0"/>
              <w:spacing w:before="0" w:after="283"/>
              <w:jc w:val="right"/>
              <w:rPr/>
            </w:pPr>
            <w:r>
              <w:rPr/>
              <w:t>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27" w:name="xdx_90F_eus-gaap--ClassOfWarrantOrRighst"/>
            <w:bookmarkEnd w:id="427"/>
            <w:r>
              <w:rPr/>
              <w:t>March 16, 2028</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28" w:name="xdx_98F_eus-gaap--ClassOfWarrantOrRightO"/>
            <w:bookmarkEnd w:id="428"/>
          </w:p>
        </w:tc>
        <w:tc>
          <w:tcPr>
            <w:tcW w:w="1384"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29" w:name="xdx_98D_eus-gaap--ClassOfWarrantOrRightO"/>
            <w:bookmarkEnd w:id="429"/>
          </w:p>
        </w:tc>
        <w:tc>
          <w:tcPr>
            <w:tcW w:w="1555"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30" w:name="xdx_98D_eus-gaap--ClassOfWarrantOrRightE"/>
            <w:bookmarkEnd w:id="430"/>
          </w:p>
        </w:tc>
        <w:tc>
          <w:tcPr>
            <w:tcW w:w="573" w:type="dxa"/>
            <w:tcBorders/>
            <w:shd w:fill="FFFFFF" w:val="clear"/>
            <w:tcMar>
              <w:bottom w:w="0" w:type="dxa"/>
            </w:tcMar>
            <w:vAlign w:val="center"/>
          </w:tcPr>
          <w:p>
            <w:pPr>
              <w:pStyle w:val="TableContents"/>
              <w:bidi w:val="0"/>
              <w:spacing w:before="0" w:after="283"/>
              <w:jc w:val="right"/>
              <w:rPr/>
            </w:pPr>
            <w:r>
              <w:rPr/>
              <w:t>2.62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31" w:name="xdx_90E_eus-gaap--ClassOfWarrantOrRighst"/>
            <w:bookmarkEnd w:id="431"/>
            <w:r>
              <w:rPr/>
              <w:t>March 29, 2028</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32" w:name="xdx_982_eus-gaap--ClassOfWarrantOrRightO"/>
            <w:bookmarkEnd w:id="432"/>
          </w:p>
        </w:tc>
        <w:tc>
          <w:tcPr>
            <w:tcW w:w="1384" w:type="dxa"/>
            <w:tcBorders/>
            <w:shd w:fill="CCEEFF" w:val="clear"/>
            <w:tcMar>
              <w:bottom w:w="0" w:type="dxa"/>
            </w:tcMar>
            <w:vAlign w:val="center"/>
          </w:tcPr>
          <w:p>
            <w:pPr>
              <w:pStyle w:val="TableContents"/>
              <w:bidi w:val="0"/>
              <w:spacing w:before="0" w:after="283"/>
              <w:jc w:val="right"/>
              <w:rPr/>
            </w:pPr>
            <w:r>
              <w:rPr/>
              <w:t>53,758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33" w:name="xdx_98A_eus-gaap--ClassOfWarrantOrRightO"/>
            <w:bookmarkEnd w:id="433"/>
          </w:p>
        </w:tc>
        <w:tc>
          <w:tcPr>
            <w:tcW w:w="1555" w:type="dxa"/>
            <w:tcBorders/>
            <w:shd w:fill="CCEEFF" w:val="clear"/>
            <w:tcMar>
              <w:bottom w:w="0" w:type="dxa"/>
            </w:tcMar>
            <w:vAlign w:val="center"/>
          </w:tcPr>
          <w:p>
            <w:pPr>
              <w:pStyle w:val="TableContents"/>
              <w:bidi w:val="0"/>
              <w:spacing w:before="0" w:after="283"/>
              <w:jc w:val="right"/>
              <w:rPr/>
            </w:pPr>
            <w:r>
              <w:rPr/>
              <w:t>53,758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34" w:name="xdx_983_eus-gaap--ClassOfWarrantOrRightE"/>
            <w:bookmarkEnd w:id="434"/>
          </w:p>
        </w:tc>
        <w:tc>
          <w:tcPr>
            <w:tcW w:w="573"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35" w:name="xdx_90D_eus-gaap--ClassOfWarrantOrRighst"/>
            <w:bookmarkEnd w:id="435"/>
            <w:r>
              <w:rPr/>
              <w:t>March 16, 2031</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36" w:name="xdx_98F_eus-gaap--ClassOfWarrantOrRightO"/>
            <w:bookmarkEnd w:id="436"/>
          </w:p>
        </w:tc>
        <w:tc>
          <w:tcPr>
            <w:tcW w:w="1384" w:type="dxa"/>
            <w:tcBorders/>
            <w:shd w:fill="FFFFFF" w:val="clear"/>
            <w:tcMar>
              <w:bottom w:w="0" w:type="dxa"/>
            </w:tcMar>
            <w:vAlign w:val="center"/>
          </w:tcPr>
          <w:p>
            <w:pPr>
              <w:pStyle w:val="TableContents"/>
              <w:bidi w:val="0"/>
              <w:spacing w:before="0" w:after="283"/>
              <w:jc w:val="right"/>
              <w:rPr/>
            </w:pPr>
            <w:r>
              <w:rPr/>
              <w:t>146,306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37" w:name="xdx_988_eus-gaap--ClassOfWarrantOrRightO"/>
            <w:bookmarkEnd w:id="437"/>
          </w:p>
        </w:tc>
        <w:tc>
          <w:tcPr>
            <w:tcW w:w="1555" w:type="dxa"/>
            <w:tcBorders/>
            <w:shd w:fill="FFFFFF" w:val="clear"/>
            <w:tcMar>
              <w:bottom w:w="0" w:type="dxa"/>
            </w:tcMar>
            <w:vAlign w:val="center"/>
          </w:tcPr>
          <w:p>
            <w:pPr>
              <w:pStyle w:val="TableContents"/>
              <w:bidi w:val="0"/>
              <w:spacing w:before="0" w:after="283"/>
              <w:jc w:val="right"/>
              <w:rPr/>
            </w:pPr>
            <w:r>
              <w:rPr/>
              <w:t>146,306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38" w:name="xdx_98E_eus-gaap--ClassOfWarrantOrRightE"/>
            <w:bookmarkEnd w:id="438"/>
          </w:p>
        </w:tc>
        <w:tc>
          <w:tcPr>
            <w:tcW w:w="573" w:type="dxa"/>
            <w:tcBorders/>
            <w:shd w:fill="FFFFFF" w:val="clear"/>
            <w:tcMar>
              <w:bottom w:w="0" w:type="dxa"/>
            </w:tcMar>
            <w:vAlign w:val="center"/>
          </w:tcPr>
          <w:p>
            <w:pPr>
              <w:pStyle w:val="TableContents"/>
              <w:bidi w:val="0"/>
              <w:spacing w:before="0" w:after="283"/>
              <w:jc w:val="right"/>
              <w:rPr/>
            </w:pPr>
            <w:r>
              <w:rPr/>
              <w:t>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39" w:name="xdx_90F_eus-gaap--ClassOfWarrantOrRighst"/>
            <w:bookmarkEnd w:id="439"/>
            <w:r>
              <w:rPr/>
              <w:t>September 16, 2027</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40" w:name="xdx_987_eus-gaap--ClassOfWarrantOrRightO"/>
            <w:bookmarkEnd w:id="440"/>
          </w:p>
        </w:tc>
        <w:tc>
          <w:tcPr>
            <w:tcW w:w="1384" w:type="dxa"/>
            <w:tcBorders/>
            <w:shd w:fill="CCEEFF" w:val="clear"/>
            <w:tcMar>
              <w:bottom w:w="0" w:type="dxa"/>
            </w:tcMar>
            <w:vAlign w:val="center"/>
          </w:tcPr>
          <w:p>
            <w:pPr>
              <w:pStyle w:val="TableContents"/>
              <w:bidi w:val="0"/>
              <w:spacing w:before="0" w:after="283"/>
              <w:jc w:val="right"/>
              <w:rPr/>
            </w:pPr>
            <w:r>
              <w:rPr/>
              <w:t>368,572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41" w:name="xdx_98E_eus-gaap--ClassOfWarrantOrRightO"/>
            <w:bookmarkEnd w:id="441"/>
          </w:p>
        </w:tc>
        <w:tc>
          <w:tcPr>
            <w:tcW w:w="1555" w:type="dxa"/>
            <w:tcBorders/>
            <w:shd w:fill="CCEEFF" w:val="clear"/>
            <w:tcMar>
              <w:bottom w:w="0" w:type="dxa"/>
            </w:tcMar>
            <w:vAlign w:val="center"/>
          </w:tcPr>
          <w:p>
            <w:pPr>
              <w:pStyle w:val="TableContents"/>
              <w:bidi w:val="0"/>
              <w:spacing w:before="0" w:after="283"/>
              <w:jc w:val="right"/>
              <w:rPr/>
            </w:pPr>
            <w:r>
              <w:rPr/>
              <w:t>368,572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42" w:name="xdx_98F_eus-gaap--ClassOfWarrantOrRightE"/>
            <w:bookmarkEnd w:id="442"/>
          </w:p>
        </w:tc>
        <w:tc>
          <w:tcPr>
            <w:tcW w:w="573" w:type="dxa"/>
            <w:tcBorders/>
            <w:shd w:fill="CCEEFF" w:val="clear"/>
            <w:tcMar>
              <w:bottom w:w="0" w:type="dxa"/>
            </w:tcMar>
            <w:vAlign w:val="center"/>
          </w:tcPr>
          <w:p>
            <w:pPr>
              <w:pStyle w:val="TableContents"/>
              <w:bidi w:val="0"/>
              <w:spacing w:before="0" w:after="283"/>
              <w:jc w:val="right"/>
              <w:rPr/>
            </w:pPr>
            <w:r>
              <w:rPr/>
              <w:t>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43" w:name="xdx_90D_eus-gaap--ClassOfWarrantOrRighst"/>
            <w:bookmarkEnd w:id="443"/>
            <w:r>
              <w:rPr/>
              <w:t>September 16, 2027</w:t>
            </w:r>
          </w:p>
        </w:tc>
      </w:tr>
      <w:tr>
        <w:trPr/>
        <w:tc>
          <w:tcPr>
            <w:tcW w:w="3890"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44" w:name="xdx_98B_eus-gaap--ClassOfWarrantOrRightO"/>
            <w:bookmarkEnd w:id="444"/>
          </w:p>
        </w:tc>
        <w:tc>
          <w:tcPr>
            <w:tcW w:w="1384" w:type="dxa"/>
            <w:tcBorders/>
            <w:shd w:fill="FFFFFF" w:val="clear"/>
            <w:tcMar>
              <w:bottom w:w="0" w:type="dxa"/>
            </w:tcMar>
            <w:vAlign w:val="center"/>
          </w:tcPr>
          <w:p>
            <w:pPr>
              <w:pStyle w:val="TableContents"/>
              <w:bidi w:val="0"/>
              <w:spacing w:before="0" w:after="283"/>
              <w:jc w:val="right"/>
              <w:rPr/>
            </w:pPr>
            <w:r>
              <w:rPr/>
              <w:t>143,723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45" w:name="xdx_988_eus-gaap--ClassOfWarrantOrRightO"/>
            <w:bookmarkEnd w:id="445"/>
          </w:p>
        </w:tc>
        <w:tc>
          <w:tcPr>
            <w:tcW w:w="1555" w:type="dxa"/>
            <w:tcBorders/>
            <w:shd w:fill="FFFFFF" w:val="clear"/>
            <w:tcMar>
              <w:bottom w:w="0" w:type="dxa"/>
            </w:tcMar>
            <w:vAlign w:val="center"/>
          </w:tcPr>
          <w:p>
            <w:pPr>
              <w:pStyle w:val="TableContents"/>
              <w:bidi w:val="0"/>
              <w:spacing w:before="0" w:after="283"/>
              <w:jc w:val="right"/>
              <w:rPr/>
            </w:pPr>
            <w:r>
              <w:rPr/>
              <w:t>143,723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46" w:name="xdx_983_eus-gaap--ClassOfWarrantOrRightE"/>
            <w:bookmarkEnd w:id="446"/>
          </w:p>
        </w:tc>
        <w:tc>
          <w:tcPr>
            <w:tcW w:w="573" w:type="dxa"/>
            <w:tcBorders/>
            <w:shd w:fill="FFFFFF" w:val="clear"/>
            <w:tcMar>
              <w:bottom w:w="0" w:type="dxa"/>
            </w:tcMar>
            <w:vAlign w:val="center"/>
          </w:tcPr>
          <w:p>
            <w:pPr>
              <w:pStyle w:val="TableContents"/>
              <w:bidi w:val="0"/>
              <w:spacing w:before="0" w:after="283"/>
              <w:jc w:val="right"/>
              <w:rPr/>
            </w:pPr>
            <w:r>
              <w:rPr/>
              <w:t>2.63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47" w:name="xdx_90C_eus-gaap--ClassOfWarrantOrRighst"/>
            <w:bookmarkEnd w:id="447"/>
            <w:r>
              <w:rPr/>
              <w:t>September 16, 2027</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48" w:name="xdx_985_eus-gaap--ClassOfWarrantOrRightO"/>
            <w:bookmarkEnd w:id="448"/>
          </w:p>
        </w:tc>
        <w:tc>
          <w:tcPr>
            <w:tcW w:w="1384" w:type="dxa"/>
            <w:tcBorders/>
            <w:shd w:fill="CCEEFF" w:val="clear"/>
            <w:tcMar>
              <w:bottom w:w="0" w:type="dxa"/>
            </w:tcMar>
            <w:vAlign w:val="center"/>
          </w:tcPr>
          <w:p>
            <w:pPr>
              <w:pStyle w:val="TableContents"/>
              <w:bidi w:val="0"/>
              <w:spacing w:before="0" w:after="283"/>
              <w:jc w:val="right"/>
              <w:rPr/>
            </w:pPr>
            <w:r>
              <w:rPr/>
              <w:t>187,794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49" w:name="xdx_985_eus-gaap--ClassOfWarrantOrRightO"/>
            <w:bookmarkEnd w:id="449"/>
          </w:p>
        </w:tc>
        <w:tc>
          <w:tcPr>
            <w:tcW w:w="1555" w:type="dxa"/>
            <w:tcBorders/>
            <w:shd w:fill="CCEEFF" w:val="clear"/>
            <w:tcMar>
              <w:bottom w:w="0" w:type="dxa"/>
            </w:tcMar>
            <w:vAlign w:val="center"/>
          </w:tcPr>
          <w:p>
            <w:pPr>
              <w:pStyle w:val="TableContents"/>
              <w:bidi w:val="0"/>
              <w:spacing w:before="0" w:after="283"/>
              <w:jc w:val="right"/>
              <w:rPr/>
            </w:pPr>
            <w:r>
              <w:rPr/>
              <w:t>187,794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50" w:name="xdx_988_eus-gaap--ClassOfWarrantOrRightE"/>
            <w:bookmarkEnd w:id="450"/>
          </w:p>
        </w:tc>
        <w:tc>
          <w:tcPr>
            <w:tcW w:w="573" w:type="dxa"/>
            <w:tcBorders/>
            <w:shd w:fill="CCEEFF" w:val="clear"/>
            <w:tcMar>
              <w:bottom w:w="0" w:type="dxa"/>
            </w:tcMar>
            <w:vAlign w:val="center"/>
          </w:tcPr>
          <w:p>
            <w:pPr>
              <w:pStyle w:val="TableContents"/>
              <w:bidi w:val="0"/>
              <w:spacing w:before="0" w:after="283"/>
              <w:jc w:val="right"/>
              <w:rPr/>
            </w:pPr>
            <w:r>
              <w:rPr/>
              <w:t>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51" w:name="xdx_909_eus-gaap--ClassOfWarrantOrRighst"/>
            <w:bookmarkEnd w:id="451"/>
            <w:r>
              <w:rPr/>
              <w:t>September 16, 2027</w:t>
            </w:r>
          </w:p>
        </w:tc>
      </w:tr>
      <w:tr>
        <w:trPr/>
        <w:tc>
          <w:tcPr>
            <w:tcW w:w="3890" w:type="dxa"/>
            <w:tcBorders/>
            <w:shd w:fill="FFFFFF" w:val="clear"/>
            <w:tcMar>
              <w:bottom w:w="0" w:type="dxa"/>
            </w:tcMar>
            <w:vAlign w:val="center"/>
          </w:tcPr>
          <w:p>
            <w:pPr>
              <w:pStyle w:val="TableContents"/>
              <w:bidi w:val="0"/>
              <w:spacing w:before="0" w:after="283"/>
              <w:jc w:val="left"/>
              <w:rPr/>
            </w:pPr>
            <w:r>
              <w:rPr/>
              <w:t>Warrant series J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52" w:name="xdx_982_eus-gaap--ClassOfWarrantOrRightO"/>
            <w:bookmarkEnd w:id="452"/>
          </w:p>
        </w:tc>
        <w:tc>
          <w:tcPr>
            <w:tcW w:w="1384" w:type="dxa"/>
            <w:tcBorders/>
            <w:shd w:fill="FFFFFF" w:val="clear"/>
            <w:tcMar>
              <w:bottom w:w="0" w:type="dxa"/>
            </w:tcMar>
            <w:vAlign w:val="center"/>
          </w:tcPr>
          <w:p>
            <w:pPr>
              <w:pStyle w:val="TableContents"/>
              <w:bidi w:val="0"/>
              <w:spacing w:before="0" w:after="283"/>
              <w:jc w:val="right"/>
              <w:rPr/>
            </w:pPr>
            <w:r>
              <w:rPr/>
              <w:t>12,064,627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53" w:name="xdx_98C_eus-gaap--ClassOfWarrantOrRightO"/>
            <w:bookmarkEnd w:id="453"/>
          </w:p>
        </w:tc>
        <w:tc>
          <w:tcPr>
            <w:tcW w:w="1555" w:type="dxa"/>
            <w:tcBorders/>
            <w:shd w:fill="FFFFFF" w:val="clear"/>
            <w:tcMar>
              <w:bottom w:w="0" w:type="dxa"/>
            </w:tcMar>
            <w:vAlign w:val="center"/>
          </w:tcPr>
          <w:p>
            <w:pPr>
              <w:pStyle w:val="TableContents"/>
              <w:bidi w:val="0"/>
              <w:spacing w:before="0" w:after="283"/>
              <w:jc w:val="right"/>
              <w:rPr/>
            </w:pPr>
            <w:r>
              <w:rPr/>
              <w:t>12,064,627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54" w:name="xdx_98C_eus-gaap--ClassOfWarrantOrRightE"/>
            <w:bookmarkEnd w:id="454"/>
          </w:p>
        </w:tc>
        <w:tc>
          <w:tcPr>
            <w:tcW w:w="573" w:type="dxa"/>
            <w:tcBorders/>
            <w:shd w:fill="FFFFFF" w:val="clear"/>
            <w:tcMar>
              <w:bottom w:w="0" w:type="dxa"/>
            </w:tcMar>
            <w:vAlign w:val="center"/>
          </w:tcPr>
          <w:p>
            <w:pPr>
              <w:pStyle w:val="TableContents"/>
              <w:bidi w:val="0"/>
              <w:spacing w:before="0" w:after="283"/>
              <w:jc w:val="right"/>
              <w:rPr/>
            </w:pPr>
            <w:r>
              <w:rPr/>
              <w:t>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55" w:name="xdx_907_eus-gaap--ClassOfWarrantOrRighst"/>
            <w:bookmarkEnd w:id="455"/>
            <w:r>
              <w:rPr/>
              <w:t>March 16, 2028</w:t>
            </w:r>
          </w:p>
        </w:tc>
      </w:tr>
      <w:tr>
        <w:trPr/>
        <w:tc>
          <w:tcPr>
            <w:tcW w:w="3890" w:type="dxa"/>
            <w:tcBorders/>
            <w:shd w:fill="CCEEFF" w:val="clear"/>
            <w:tcMar>
              <w:bottom w:w="0" w:type="dxa"/>
            </w:tcMar>
            <w:vAlign w:val="center"/>
          </w:tcPr>
          <w:p>
            <w:pPr>
              <w:pStyle w:val="TableContents"/>
              <w:bidi w:val="0"/>
              <w:spacing w:before="0" w:after="283"/>
              <w:jc w:val="left"/>
              <w:rPr/>
            </w:pPr>
            <w:r>
              <w:rPr/>
              <w:t>Warrant series J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56" w:name="xdx_983_eus-gaap--ClassOfWarrantOrRightO"/>
            <w:bookmarkEnd w:id="456"/>
          </w:p>
        </w:tc>
        <w:tc>
          <w:tcPr>
            <w:tcW w:w="1384"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bookmarkStart w:id="457" w:name="xdx_989_eus-gaap--ClassOfWarrantOrRightO"/>
            <w:bookmarkEnd w:id="457"/>
          </w:p>
        </w:tc>
        <w:tc>
          <w:tcPr>
            <w:tcW w:w="1555"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58" w:name="xdx_982_eus-gaap--ClassOfWarrantOrRightE"/>
            <w:bookmarkEnd w:id="458"/>
          </w:p>
        </w:tc>
        <w:tc>
          <w:tcPr>
            <w:tcW w:w="573" w:type="dxa"/>
            <w:tcBorders/>
            <w:shd w:fill="CCEEFF" w:val="clear"/>
            <w:tcMar>
              <w:bottom w:w="0" w:type="dxa"/>
            </w:tcMar>
            <w:vAlign w:val="center"/>
          </w:tcPr>
          <w:p>
            <w:pPr>
              <w:pStyle w:val="TableContents"/>
              <w:bidi w:val="0"/>
              <w:spacing w:before="0" w:after="283"/>
              <w:jc w:val="right"/>
              <w:rPr/>
            </w:pPr>
            <w:r>
              <w:rPr/>
              <w:t>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59" w:name="xdx_90C_eus-gaap--ClassOfWarrantOrRighst"/>
            <w:bookmarkEnd w:id="459"/>
            <w:r>
              <w:rPr/>
              <w:t>March 29, 2028</w:t>
            </w:r>
          </w:p>
        </w:tc>
      </w:tr>
      <w:tr>
        <w:trPr/>
        <w:tc>
          <w:tcPr>
            <w:tcW w:w="3890" w:type="dxa"/>
            <w:tcBorders/>
            <w:shd w:fill="FFFFFF" w:val="clear"/>
            <w:tcMar>
              <w:bottom w:w="0" w:type="dxa"/>
            </w:tcMar>
            <w:vAlign w:val="center"/>
          </w:tcPr>
          <w:p>
            <w:pPr>
              <w:pStyle w:val="TableContents"/>
              <w:bidi w:val="0"/>
              <w:spacing w:before="0" w:after="283"/>
              <w:jc w:val="left"/>
              <w:rPr/>
            </w:pPr>
            <w:r>
              <w:rPr/>
              <w:t>Warrant series J October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60" w:name="xdx_988_eus-gaap--ClassOfWarrantOrRightO"/>
            <w:bookmarkEnd w:id="460"/>
          </w:p>
        </w:tc>
        <w:tc>
          <w:tcPr>
            <w:tcW w:w="1384" w:type="dxa"/>
            <w:tcBorders/>
            <w:shd w:fill="FFFFFF" w:val="clear"/>
            <w:tcMar>
              <w:bottom w:w="0" w:type="dxa"/>
            </w:tcMar>
            <w:vAlign w:val="center"/>
          </w:tcPr>
          <w:p>
            <w:pPr>
              <w:pStyle w:val="TableContents"/>
              <w:bidi w:val="0"/>
              <w:spacing w:before="0" w:after="283"/>
              <w:jc w:val="right"/>
              <w:rPr/>
            </w:pPr>
            <w:r>
              <w:rPr/>
              <w:t>1,324,488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bookmarkStart w:id="461" w:name="xdx_98F_eus-gaap--ClassOfWarrantOrRightO"/>
            <w:bookmarkEnd w:id="461"/>
          </w:p>
        </w:tc>
        <w:tc>
          <w:tcPr>
            <w:tcW w:w="1555" w:type="dxa"/>
            <w:tcBorders/>
            <w:shd w:fill="FFFFFF" w:val="clear"/>
            <w:tcMar>
              <w:bottom w:w="0" w:type="dxa"/>
            </w:tcMar>
            <w:vAlign w:val="center"/>
          </w:tcPr>
          <w:p>
            <w:pPr>
              <w:pStyle w:val="TableContents"/>
              <w:bidi w:val="0"/>
              <w:spacing w:before="0" w:after="283"/>
              <w:jc w:val="right"/>
              <w:rPr/>
            </w:pPr>
            <w:r>
              <w:rPr/>
              <w:t>1,324,488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bookmarkStart w:id="462" w:name="xdx_98A_eus-gaap--ClassOfWarrantOrRightE"/>
            <w:bookmarkEnd w:id="462"/>
          </w:p>
        </w:tc>
        <w:tc>
          <w:tcPr>
            <w:tcW w:w="573" w:type="dxa"/>
            <w:tcBorders/>
            <w:shd w:fill="FFFFFF" w:val="clear"/>
            <w:tcMar>
              <w:bottom w:w="0" w:type="dxa"/>
            </w:tcMar>
            <w:vAlign w:val="center"/>
          </w:tcPr>
          <w:p>
            <w:pPr>
              <w:pStyle w:val="TableContents"/>
              <w:bidi w:val="0"/>
              <w:spacing w:before="0" w:after="283"/>
              <w:jc w:val="right"/>
              <w:rPr/>
            </w:pPr>
            <w:r>
              <w:rPr/>
              <w:t>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bookmarkStart w:id="463" w:name="xdx_908_eus-gaap--ClassOfWarrantOrRighst"/>
            <w:bookmarkEnd w:id="463"/>
            <w:r>
              <w:rPr/>
              <w:t>April 6, 2028</w:t>
            </w:r>
          </w:p>
        </w:tc>
      </w:tr>
      <w:tr>
        <w:trPr/>
        <w:tc>
          <w:tcPr>
            <w:tcW w:w="3890" w:type="dxa"/>
            <w:tcBorders/>
            <w:shd w:fill="CCEEFF" w:val="clear"/>
            <w:tcMar>
              <w:bottom w:w="0" w:type="dxa"/>
            </w:tcMar>
            <w:vAlign w:val="center"/>
          </w:tcPr>
          <w:p>
            <w:pPr>
              <w:pStyle w:val="TableContents"/>
              <w:bidi w:val="0"/>
              <w:spacing w:before="0" w:after="283"/>
              <w:jc w:val="left"/>
              <w:rPr/>
            </w:pPr>
            <w:r>
              <w:rPr/>
              <w:t>Warrant to underwriters 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vAlign w:val="center"/>
          </w:tcPr>
          <w:p>
            <w:pPr>
              <w:pStyle w:val="TableContents"/>
              <w:bidi w:val="0"/>
              <w:spacing w:before="0" w:after="283"/>
              <w:jc w:val="left"/>
              <w:rPr/>
            </w:pPr>
            <w:r>
              <w:rPr/>
              <w:t> </w:t>
            </w:r>
            <w:bookmarkStart w:id="464" w:name="xdx_98C_eus-gaap--ClassOfWarrantOrRightO"/>
            <w:bookmarkEnd w:id="464"/>
          </w:p>
        </w:tc>
        <w:tc>
          <w:tcPr>
            <w:tcW w:w="1384" w:type="dxa"/>
            <w:tcBorders>
              <w:bottom w:val="single" w:sz="8" w:space="0" w:color="000000"/>
            </w:tcBorders>
            <w:shd w:fill="CCEEFF" w:val="clear"/>
            <w:vAlign w:val="center"/>
          </w:tcPr>
          <w:p>
            <w:pPr>
              <w:pStyle w:val="TableContents"/>
              <w:bidi w:val="0"/>
              <w:spacing w:before="0" w:after="283"/>
              <w:jc w:val="right"/>
              <w:rPr/>
            </w:pPr>
            <w:r>
              <w:rPr/>
              <w:t>66,224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8" w:space="0" w:color="000000"/>
            </w:tcBorders>
            <w:shd w:fill="CCEEFF" w:val="clear"/>
            <w:vAlign w:val="center"/>
          </w:tcPr>
          <w:p>
            <w:pPr>
              <w:pStyle w:val="TableContents"/>
              <w:bidi w:val="0"/>
              <w:spacing w:before="0" w:after="283"/>
              <w:jc w:val="left"/>
              <w:rPr/>
            </w:pPr>
            <w:r>
              <w:rPr/>
              <w:t> </w:t>
            </w:r>
            <w:bookmarkStart w:id="465" w:name="xdx_980_eus-gaap--ClassOfWarrantOrRightO"/>
            <w:bookmarkEnd w:id="465"/>
          </w:p>
        </w:tc>
        <w:tc>
          <w:tcPr>
            <w:tcW w:w="1555" w:type="dxa"/>
            <w:tcBorders>
              <w:bottom w:val="single" w:sz="8" w:space="0" w:color="000000"/>
            </w:tcBorders>
            <w:shd w:fill="CCEEFF" w:val="clear"/>
            <w:vAlign w:val="center"/>
          </w:tcPr>
          <w:p>
            <w:pPr>
              <w:pStyle w:val="TableContents"/>
              <w:bidi w:val="0"/>
              <w:spacing w:before="0" w:after="283"/>
              <w:jc w:val="right"/>
              <w:rPr/>
            </w:pPr>
            <w:r>
              <w:rPr/>
              <w:t>66,224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bookmarkStart w:id="466" w:name="xdx_98D_eus-gaap--ClassOfWarrantOrRightE"/>
            <w:bookmarkEnd w:id="466"/>
          </w:p>
        </w:tc>
        <w:tc>
          <w:tcPr>
            <w:tcW w:w="573" w:type="dxa"/>
            <w:tcBorders/>
            <w:shd w:fill="CCEEFF" w:val="clear"/>
            <w:tcMar>
              <w:bottom w:w="0" w:type="dxa"/>
            </w:tcMar>
            <w:vAlign w:val="center"/>
          </w:tcPr>
          <w:p>
            <w:pPr>
              <w:pStyle w:val="TableContents"/>
              <w:bidi w:val="0"/>
              <w:spacing w:before="0" w:after="283"/>
              <w:jc w:val="right"/>
              <w:rPr/>
            </w:pPr>
            <w:r>
              <w:rPr/>
              <w:t>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bookmarkStart w:id="467" w:name="xdx_902_eus-gaap--ClassOfWarrantOrRighst"/>
            <w:bookmarkEnd w:id="467"/>
            <w:r>
              <w:rPr/>
              <w:t>April 6, 2028</w:t>
            </w:r>
          </w:p>
        </w:tc>
      </w:tr>
      <w:tr>
        <w:trPr/>
        <w:tc>
          <w:tcPr>
            <w:tcW w:w="3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double" w:sz="6" w:space="0" w:color="000000"/>
            </w:tcBorders>
            <w:shd w:fill="FFFFFF" w:val="clear"/>
            <w:vAlign w:val="center"/>
          </w:tcPr>
          <w:p>
            <w:pPr>
              <w:pStyle w:val="TableContents"/>
              <w:bidi w:val="0"/>
              <w:spacing w:before="0" w:after="283"/>
              <w:jc w:val="left"/>
              <w:rPr/>
            </w:pPr>
            <w:r>
              <w:rPr/>
              <w:t> </w:t>
            </w:r>
            <w:bookmarkStart w:id="468" w:name="xdx_981_eus-gaap--ClassOfWarrantOrRightO"/>
            <w:bookmarkEnd w:id="468"/>
          </w:p>
        </w:tc>
        <w:tc>
          <w:tcPr>
            <w:tcW w:w="1384" w:type="dxa"/>
            <w:tcBorders>
              <w:bottom w:val="double" w:sz="6" w:space="0" w:color="000000"/>
            </w:tcBorders>
            <w:shd w:fill="FFFFFF" w:val="clear"/>
            <w:vAlign w:val="center"/>
          </w:tcPr>
          <w:p>
            <w:pPr>
              <w:pStyle w:val="TableContents"/>
              <w:bidi w:val="0"/>
              <w:spacing w:before="0" w:after="283"/>
              <w:jc w:val="right"/>
              <w:rPr/>
            </w:pPr>
            <w:r>
              <w:rPr/>
              <w:t>16,284,888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double" w:sz="6" w:space="0" w:color="000000"/>
            </w:tcBorders>
            <w:shd w:fill="FFFFFF" w:val="clear"/>
            <w:vAlign w:val="center"/>
          </w:tcPr>
          <w:p>
            <w:pPr>
              <w:pStyle w:val="TableContents"/>
              <w:bidi w:val="0"/>
              <w:spacing w:before="0" w:after="283"/>
              <w:jc w:val="left"/>
              <w:rPr/>
            </w:pPr>
            <w:r>
              <w:rPr/>
              <w:t> </w:t>
            </w:r>
            <w:bookmarkStart w:id="469" w:name="xdx_985_eus-gaap--ClassOfWarrantOrRightO"/>
            <w:bookmarkEnd w:id="469"/>
          </w:p>
        </w:tc>
        <w:tc>
          <w:tcPr>
            <w:tcW w:w="1555" w:type="dxa"/>
            <w:tcBorders>
              <w:bottom w:val="double" w:sz="6" w:space="0" w:color="000000"/>
            </w:tcBorders>
            <w:shd w:fill="FFFFFF" w:val="clear"/>
            <w:vAlign w:val="center"/>
          </w:tcPr>
          <w:p>
            <w:pPr>
              <w:pStyle w:val="TableContents"/>
              <w:bidi w:val="0"/>
              <w:spacing w:before="0" w:after="283"/>
              <w:jc w:val="right"/>
              <w:rPr/>
            </w:pPr>
            <w:r>
              <w:rPr/>
              <w:t>16,312,990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5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bookmarkStart w:id="470" w:name="xdx_8AB_z5LaO83GbQB9"/>
      <w:bookmarkEnd w:id="47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71" w:name="xdx_803_eus-gaap--SegmentReportingDisclo"/>
      <w:bookmarkEnd w:id="471"/>
      <w:r>
        <w:rPr>
          <w:rFonts w:ascii="Times New Roman;Times;Serif" w:hAnsi="Times New Roman;Times;Serif"/>
          <w:b/>
          <w:i w:val="false"/>
          <w:caps w:val="false"/>
          <w:smallCaps w:val="false"/>
          <w:sz w:val="20"/>
        </w:rPr>
        <w:t xml:space="preserve">NOTE 5 – </w:t>
      </w:r>
      <w:bookmarkStart w:id="472" w:name="xdx_828_zOT6uBZ4cDX1"/>
      <w:bookmarkEnd w:id="472"/>
      <w:r>
        <w:rPr>
          <w:rFonts w:ascii="Times New Roman;Times;Serif" w:hAnsi="Times New Roman;Times;Serif"/>
          <w:b/>
          <w:i w:val="false"/>
          <w:caps w:val="false"/>
          <w:smallCaps w:val="false"/>
          <w:sz w:val="20"/>
        </w:rPr>
        <w:t>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information is prepared on the same basis that the Company’s chief operating decision maker (“CODM”), the Chief Executive Officer, manages the business, makes business decisions and assesses performance. The Company has </w:t>
      </w:r>
      <w:bookmarkStart w:id="473" w:name="xdx_909_eus-gaap--NumberOfReportableSegm"/>
      <w:bookmarkStart w:id="474" w:name="xdx_90B_eus-gaap--NumberOfOperatingSegme"/>
      <w:bookmarkEnd w:id="473"/>
      <w:bookmarkEnd w:id="474"/>
      <w:r>
        <w:rPr>
          <w:rFonts w:ascii="Times New Roman;Times;Serif" w:hAnsi="Times New Roman;Times;Serif"/>
          <w:b w:val="false"/>
          <w:i w:val="false"/>
          <w:caps w:val="false"/>
          <w:smallCaps w:val="false"/>
          <w:sz w:val="20"/>
        </w:rPr>
        <w:t>one operating and reportable segment, which is the development of robotic devices for endoluminal surgery. See Note 1A for further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75" w:name="xdx_89A_eus-gaap--ScheduleOfSegmentRepor"/>
      <w:bookmarkEnd w:id="475"/>
      <w:r>
        <w:rPr>
          <w:rFonts w:ascii="Times New Roman;Times;Serif" w:hAnsi="Times New Roman;Times;Serif"/>
          <w:b w:val="false"/>
          <w:i w:val="false"/>
          <w:caps w:val="false"/>
          <w:smallCaps w:val="false"/>
          <w:sz w:val="20"/>
        </w:rPr>
        <w:t>The table below summarizes the significant expense categories regularly reviewed by the CODM for the three and six months ended June 30, 2026, and 2025:</w:t>
      </w:r>
    </w:p>
    <w:p>
      <w:pPr>
        <w:pStyle w:val="TextBody"/>
        <w:bidi w:val="0"/>
        <w:spacing w:before="0" w:after="0"/>
        <w:jc w:val="both"/>
        <w:rPr>
          <w:caps w:val="false"/>
          <w:smallCaps w:val="false"/>
        </w:rPr>
      </w:pPr>
      <w:r>
        <w:rPr>
          <w:caps w:val="false"/>
          <w:smallCaps w:val="false"/>
        </w:rPr>
        <w:t> </w:t>
      </w:r>
      <w:bookmarkStart w:id="476" w:name="xdx_8B7_zotz9x3WTcIl"/>
      <w:bookmarkEnd w:id="476"/>
      <w:r>
        <w:rPr>
          <w:rFonts w:ascii="Times New Roman;Times;Serif" w:hAnsi="Times New Roman;Times;Serif"/>
          <w:b w:val="false"/>
          <w:i w:val="false"/>
          <w:caps w:val="false"/>
          <w:smallCaps w:val="false"/>
          <w:sz w:val="20"/>
        </w:rPr>
        <w:t>SCHEDULE OF SIGNIFICANT EXPENSE CATEGORIES BY SEGMENT</w:t>
      </w:r>
    </w:p>
    <w:tbl>
      <w:tblPr>
        <w:tblW w:w="6597" w:type="dxa"/>
        <w:jc w:val="left"/>
        <w:tblInd w:w="0" w:type="dxa"/>
        <w:tblLayout w:type="fixed"/>
        <w:tblCellMar>
          <w:top w:w="0" w:type="dxa"/>
          <w:left w:w="0" w:type="dxa"/>
          <w:bottom w:w="0" w:type="dxa"/>
          <w:right w:w="0" w:type="dxa"/>
        </w:tblCellMar>
      </w:tblPr>
      <w:tblGrid>
        <w:gridCol w:w="2735"/>
        <w:gridCol w:w="60"/>
        <w:gridCol w:w="150"/>
        <w:gridCol w:w="683"/>
        <w:gridCol w:w="102"/>
        <w:gridCol w:w="64"/>
        <w:gridCol w:w="150"/>
        <w:gridCol w:w="683"/>
        <w:gridCol w:w="95"/>
        <w:gridCol w:w="60"/>
        <w:gridCol w:w="140"/>
        <w:gridCol w:w="635"/>
        <w:gridCol w:w="95"/>
        <w:gridCol w:w="60"/>
        <w:gridCol w:w="140"/>
        <w:gridCol w:w="635"/>
        <w:gridCol w:w="11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7" w:name="xdx_49F_20260401__20260630_zlTo7gTduB3g"/>
            <w:bookmarkEnd w:id="477"/>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478" w:name="xdx_497_20250401__20250630_zF6W3A7SSeOf"/>
            <w:bookmarkEnd w:id="478"/>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0_20260101__20260630_zDADdIKwZ20d"/>
            <w:bookmarkEnd w:id="479"/>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E_20250101__20250630_z9JsC6O8tGa8"/>
            <w:bookmarkEnd w:id="480"/>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481" w:name="xdx_408_eus-gaap--RevenueFromContractWit"/>
            <w:bookmarkEnd w:id="481"/>
          </w:p>
        </w:tc>
      </w:tr>
      <w:tr>
        <w:trPr/>
        <w:tc>
          <w:tcPr>
            <w:tcW w:w="27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241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82" w:name="xdx_40C_eus-gaap--CostOfRevenue_iN_di_ms"/>
            <w:bookmarkEnd w:id="482"/>
          </w:p>
        </w:tc>
      </w:tr>
      <w:tr>
        <w:trPr/>
        <w:tc>
          <w:tcPr>
            <w:tcW w:w="2735"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(884</w:t>
            </w:r>
          </w:p>
        </w:tc>
        <w:tc>
          <w:tcPr>
            <w:tcW w:w="102"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bookmarkStart w:id="483" w:name="xdx_401_ecustom--PayrollAndPayrollRelate"/>
            <w:bookmarkEnd w:id="483"/>
          </w:p>
        </w:tc>
      </w:tr>
      <w:tr>
        <w:trPr/>
        <w:tc>
          <w:tcPr>
            <w:tcW w:w="2735" w:type="dxa"/>
            <w:tcBorders/>
            <w:shd w:fill="CCEEFF" w:val="clear"/>
            <w:vAlign w:val="center"/>
          </w:tcPr>
          <w:p>
            <w:pPr>
              <w:pStyle w:val="TableContents"/>
              <w:bidi w:val="0"/>
              <w:spacing w:before="0" w:after="283"/>
              <w:jc w:val="left"/>
              <w:rPr/>
            </w:pPr>
            <w:r>
              <w:rPr/>
              <w:t>Payroll and payroll related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(3,092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(1,576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(3,124</w:t>
            </w:r>
          </w:p>
        </w:tc>
        <w:tc>
          <w:tcPr>
            <w:tcW w:w="110" w:type="dxa"/>
            <w:tcBorders/>
            <w:shd w:fill="CCEEFF" w:val="clear"/>
            <w:vAlign w:val="center"/>
          </w:tcPr>
          <w:p>
            <w:pPr>
              <w:pStyle w:val="TableContents"/>
              <w:bidi w:val="0"/>
              <w:spacing w:before="0" w:after="283"/>
              <w:jc w:val="left"/>
              <w:rPr/>
            </w:pPr>
            <w:r>
              <w:rPr/>
              <w:t>)</w:t>
            </w:r>
            <w:bookmarkStart w:id="484" w:name="xdx_403_ecustom--MaterialsAndSubcontract"/>
            <w:bookmarkEnd w:id="484"/>
          </w:p>
        </w:tc>
      </w:tr>
      <w:tr>
        <w:trPr/>
        <w:tc>
          <w:tcPr>
            <w:tcW w:w="2735" w:type="dxa"/>
            <w:tcBorders/>
            <w:vAlign w:val="center"/>
          </w:tcPr>
          <w:p>
            <w:pPr>
              <w:pStyle w:val="TableContents"/>
              <w:bidi w:val="0"/>
              <w:spacing w:before="0" w:after="283"/>
              <w:jc w:val="left"/>
              <w:rPr/>
            </w:pPr>
            <w:r>
              <w:rPr/>
              <w:t>Materials and subcontractors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(308</w:t>
            </w:r>
          </w:p>
        </w:tc>
        <w:tc>
          <w:tcPr>
            <w:tcW w:w="102"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(665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(386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(943</w:t>
            </w:r>
          </w:p>
        </w:tc>
        <w:tc>
          <w:tcPr>
            <w:tcW w:w="110" w:type="dxa"/>
            <w:tcBorders/>
            <w:vAlign w:val="center"/>
          </w:tcPr>
          <w:p>
            <w:pPr>
              <w:pStyle w:val="TableContents"/>
              <w:bidi w:val="0"/>
              <w:spacing w:before="0" w:after="283"/>
              <w:jc w:val="left"/>
              <w:rPr/>
            </w:pPr>
            <w:r>
              <w:rPr/>
              <w:t>)</w:t>
            </w:r>
            <w:bookmarkStart w:id="485" w:name="xdx_40D_eus-gaap--ShareBasedCompensation"/>
            <w:bookmarkEnd w:id="485"/>
          </w:p>
        </w:tc>
      </w:tr>
      <w:tr>
        <w:trPr/>
        <w:tc>
          <w:tcPr>
            <w:tcW w:w="273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(433</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(493</w:t>
            </w:r>
          </w:p>
        </w:tc>
        <w:tc>
          <w:tcPr>
            <w:tcW w:w="110" w:type="dxa"/>
            <w:tcBorders/>
            <w:shd w:fill="CCEEFF" w:val="clear"/>
            <w:vAlign w:val="center"/>
          </w:tcPr>
          <w:p>
            <w:pPr>
              <w:pStyle w:val="TableContents"/>
              <w:bidi w:val="0"/>
              <w:spacing w:before="0" w:after="283"/>
              <w:jc w:val="left"/>
              <w:rPr/>
            </w:pPr>
            <w:r>
              <w:rPr/>
              <w:t>)</w:t>
            </w:r>
            <w:bookmarkStart w:id="486" w:name="xdx_409_eus-gaap--SegmentReportingOtherI"/>
            <w:bookmarkEnd w:id="486"/>
          </w:p>
        </w:tc>
      </w:tr>
      <w:tr>
        <w:trPr/>
        <w:tc>
          <w:tcPr>
            <w:tcW w:w="2735" w:type="dxa"/>
            <w:tcBorders/>
            <w:vAlign w:val="center"/>
          </w:tcPr>
          <w:p>
            <w:pPr>
              <w:pStyle w:val="TableContents"/>
              <w:bidi w:val="0"/>
              <w:spacing w:before="0" w:after="283"/>
              <w:jc w:val="left"/>
              <w:rPr/>
            </w:pPr>
            <w:r>
              <w:rPr/>
              <w:t>Other segment items (</w:t>
            </w:r>
            <w:bookmarkStart w:id="487" w:name="xdx_F44_zxU6QGrYPmF4"/>
            <w:bookmarkEnd w:id="487"/>
            <w:r>
              <w:rPr/>
              <w:t>*)</w:t>
            </w:r>
          </w:p>
        </w:tc>
        <w:tc>
          <w:tcPr>
            <w:tcW w:w="60"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tcMar>
              <w:bottom w:w="28" w:type="dxa"/>
            </w:tcMar>
            <w:vAlign w:val="center"/>
          </w:tcPr>
          <w:p>
            <w:pPr>
              <w:pStyle w:val="TableContents"/>
              <w:bidi w:val="0"/>
              <w:spacing w:before="0" w:after="283"/>
              <w:jc w:val="right"/>
              <w:rPr/>
            </w:pPr>
            <w:r>
              <w:rPr/>
              <w:t>(1,151</w:t>
            </w:r>
          </w:p>
        </w:tc>
        <w:tc>
          <w:tcPr>
            <w:tcW w:w="102"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50" w:type="dxa"/>
            <w:tcBorders>
              <w:bottom w:val="single" w:sz="8" w:space="0" w:color="000000"/>
            </w:tcBorders>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tcMar>
              <w:bottom w:w="28" w:type="dxa"/>
            </w:tcMar>
            <w:vAlign w:val="center"/>
          </w:tcPr>
          <w:p>
            <w:pPr>
              <w:pStyle w:val="TableContents"/>
              <w:bidi w:val="0"/>
              <w:spacing w:before="0" w:after="283"/>
              <w:jc w:val="right"/>
              <w:rPr/>
            </w:pPr>
            <w:r>
              <w:rPr/>
              <w:t>(1,022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(1,708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right"/>
              <w:rPr/>
            </w:pPr>
            <w:r>
              <w:rPr/>
              <w:t>(1,541</w:t>
            </w:r>
          </w:p>
        </w:tc>
        <w:tc>
          <w:tcPr>
            <w:tcW w:w="110" w:type="dxa"/>
            <w:tcBorders/>
            <w:vAlign w:val="center"/>
          </w:tcPr>
          <w:p>
            <w:pPr>
              <w:pStyle w:val="TableContents"/>
              <w:bidi w:val="0"/>
              <w:spacing w:before="0" w:after="283"/>
              <w:jc w:val="left"/>
              <w:rPr/>
            </w:pPr>
            <w:r>
              <w:rPr/>
              <w:t>)</w:t>
            </w:r>
            <w:bookmarkStart w:id="488" w:name="xdx_406_eus-gaap--NetIncomeLoss_iT_mtNIL"/>
            <w:bookmarkEnd w:id="488"/>
          </w:p>
        </w:tc>
      </w:tr>
      <w:tr>
        <w:trPr/>
        <w:tc>
          <w:tcPr>
            <w:tcW w:w="273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pPr>
            <w:r>
              <w:rPr/>
              <w:t>(5,627</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(9,298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(6,101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9" w:name="xdx_F00_zHTE90gOzrtc"/>
            <w:bookmarkEnd w:id="489"/>
            <w:r>
              <w:rPr>
                <w:rFonts w:ascii="Times New Roman;Times;Serif" w:hAnsi="Times New Roman;Times;Serif"/>
                <w:b w:val="false"/>
                <w:i w:val="false"/>
                <w:caps w:val="false"/>
                <w:smallCaps w:val="false"/>
                <w:sz w:val="20"/>
              </w:rPr>
              <w:t>(*)</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0" w:name="xdx_F18_z5zhiFNhGVj8"/>
            <w:bookmarkEnd w:id="490"/>
            <w:r>
              <w:rPr>
                <w:rFonts w:ascii="Times New Roman;Times;Serif" w:hAnsi="Times New Roman;Times;Serif"/>
                <w:b w:val="false"/>
                <w:i w:val="false"/>
                <w:caps w:val="false"/>
                <w:smallCaps w:val="false"/>
                <w:sz w:val="20"/>
              </w:rPr>
              <w:t>Other segment items included within net loss include professional services, patents, overhead and depreciation, travel expenses, insurance expenses, financial income, net, other income and other miscellaneous expenses net of grants received. See the consolidated financial statements for other financial information regarding the Company’s operating segment.</w:t>
            </w:r>
          </w:p>
        </w:tc>
      </w:tr>
    </w:tbl>
    <w:p>
      <w:pPr>
        <w:pStyle w:val="TextBody"/>
        <w:bidi w:val="0"/>
        <w:spacing w:before="0" w:after="0"/>
        <w:jc w:val="both"/>
        <w:rPr>
          <w:caps w:val="false"/>
          <w:smallCaps w:val="false"/>
        </w:rPr>
      </w:pPr>
      <w:bookmarkStart w:id="491" w:name="xdx_8A4_znSVObA0irR8"/>
      <w:bookmarkEnd w:id="49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92" w:name="xdx_80C_eus-gaap--LesseeOperatingLeasesT"/>
      <w:bookmarkEnd w:id="492"/>
      <w:r>
        <w:rPr>
          <w:rFonts w:ascii="Times New Roman;Times;Serif" w:hAnsi="Times New Roman;Times;Serif"/>
          <w:b/>
          <w:i w:val="false"/>
          <w:caps w:val="false"/>
          <w:smallCaps w:val="false"/>
          <w:sz w:val="20"/>
        </w:rPr>
        <w:t xml:space="preserve">NOTE 6 – </w:t>
      </w:r>
      <w:bookmarkStart w:id="493" w:name="xdx_822_zcXiNBl49ovj"/>
      <w:bookmarkEnd w:id="493"/>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entered into a lease agreement for its US office for the period from March 2025 until February 2027. The monthly lease payments are approximately $</w:t>
      </w:r>
      <w:bookmarkStart w:id="494" w:name="xdx_900_eus-gaap--FinanceLeasePrincipalP"/>
      <w:bookmarkEnd w:id="494"/>
      <w:r>
        <w:rPr>
          <w:rFonts w:ascii="Times New Roman;Times;Serif" w:hAnsi="Times New Roman;Times;Serif"/>
          <w:b w:val="false"/>
          <w:i w:val="false"/>
          <w:caps w:val="false"/>
          <w:smallCaps w:val="false"/>
          <w:sz w:val="20"/>
        </w:rPr>
        <w:t>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Microbot Israel entered into a lease agreement for its Israel office for the period from July 2025 until October 2029. The monthly lease payments are approximately $</w:t>
      </w:r>
      <w:bookmarkStart w:id="495" w:name="xdx_909_eus-gaap--FinanceLeasePrincipalP"/>
      <w:bookmarkEnd w:id="495"/>
      <w:r>
        <w:rPr>
          <w:rFonts w:ascii="Times New Roman;Times;Serif" w:hAnsi="Times New Roman;Times;Serif"/>
          <w:b w:val="false"/>
          <w:i w:val="false"/>
          <w:caps w:val="false"/>
          <w:smallCaps w:val="false"/>
          <w:sz w:val="20"/>
        </w:rPr>
        <w:t>21. To secure the lease payments, the Company issued a bank guarantee of $</w:t>
      </w:r>
      <w:bookmarkStart w:id="496" w:name="xdx_900_ecustom--BankGuaranteeIssued_pn3"/>
      <w:bookmarkEnd w:id="496"/>
      <w:r>
        <w:rPr>
          <w:rFonts w:ascii="Times New Roman;Times;Serif" w:hAnsi="Times New Roman;Times;Serif"/>
          <w:b w:val="false"/>
          <w:i w:val="false"/>
          <w:caps w:val="false"/>
          <w:smallCaps w:val="false"/>
          <w:sz w:val="20"/>
        </w:rPr>
        <w:t>60 in favor of the facility’s lessor.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several agreements for car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97" w:name="xdx_89A_eus-gaap--LesseeOperatingLeaseLi"/>
      <w:bookmarkEnd w:id="497"/>
      <w:r>
        <w:rPr>
          <w:rFonts w:ascii="Times New Roman;Times;Serif" w:hAnsi="Times New Roman;Times;Serif"/>
          <w:b w:val="false"/>
          <w:i w:val="false"/>
          <w:caps w:val="false"/>
          <w:smallCaps w:val="false"/>
          <w:sz w:val="20"/>
        </w:rPr>
        <w:t>Future minimum lease obligations under our non-cancelable lease agreements as of June 30, 2026 were as follows:</w:t>
      </w:r>
    </w:p>
    <w:p>
      <w:pPr>
        <w:pStyle w:val="TextBody"/>
        <w:bidi w:val="0"/>
        <w:spacing w:before="0" w:after="0"/>
        <w:jc w:val="left"/>
        <w:rPr>
          <w:caps w:val="false"/>
          <w:smallCaps w:val="false"/>
        </w:rPr>
      </w:pPr>
      <w:r>
        <w:rPr>
          <w:caps w:val="false"/>
          <w:smallCaps w:val="false"/>
        </w:rPr>
        <w:t> </w:t>
      </w:r>
      <w:bookmarkStart w:id="498" w:name="xdx_8BA_zg8ZEKUmzMFb"/>
      <w:bookmarkEnd w:id="498"/>
      <w:r>
        <w:rPr>
          <w:rFonts w:ascii="Times New Roman;Times;Serif" w:hAnsi="Times New Roman;Times;Serif"/>
          <w:b w:val="false"/>
          <w:i w:val="false"/>
          <w:caps w:val="false"/>
          <w:smallCaps w:val="false"/>
          <w:sz w:val="20"/>
        </w:rPr>
        <w:t>SCHEDULE OF FUTURE MINIMUM LEASE OBLIGATIONS</w:t>
      </w:r>
    </w:p>
    <w:tbl>
      <w:tblPr>
        <w:tblW w:w="3395" w:type="dxa"/>
        <w:jc w:val="left"/>
        <w:tblInd w:w="0" w:type="dxa"/>
        <w:tblLayout w:type="fixed"/>
        <w:tblCellMar>
          <w:top w:w="0" w:type="dxa"/>
          <w:left w:w="0" w:type="dxa"/>
          <w:bottom w:w="0" w:type="dxa"/>
          <w:right w:w="0" w:type="dxa"/>
        </w:tblCellMar>
      </w:tblPr>
      <w:tblGrid>
        <w:gridCol w:w="2630"/>
        <w:gridCol w:w="60"/>
        <w:gridCol w:w="140"/>
        <w:gridCol w:w="455"/>
        <w:gridCol w:w="110"/>
      </w:tblGrid>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99" w:name="xdx_49D_20260630_zPKhcf3HCof2"/>
            <w:bookmarkEnd w:id="499"/>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0" w:name="xdx_409_eus-gaap--LesseeOperatingLeaseLi"/>
            <w:bookmarkEnd w:id="500"/>
          </w:p>
        </w:tc>
      </w:tr>
      <w:tr>
        <w:trPr/>
        <w:tc>
          <w:tcPr>
            <w:tcW w:w="263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179</w:t>
            </w:r>
          </w:p>
        </w:tc>
        <w:tc>
          <w:tcPr>
            <w:tcW w:w="110" w:type="dxa"/>
            <w:tcBorders/>
            <w:shd w:fill="CCEEFF" w:val="clear"/>
            <w:vAlign w:val="center"/>
          </w:tcPr>
          <w:p>
            <w:pPr>
              <w:pStyle w:val="TableContents"/>
              <w:bidi w:val="0"/>
              <w:spacing w:before="0" w:after="283"/>
              <w:jc w:val="left"/>
              <w:rPr/>
            </w:pPr>
            <w:r>
              <w:rPr/>
              <w:t> </w:t>
            </w:r>
            <w:bookmarkStart w:id="501" w:name="xdx_40C_eus-gaap--LesseeOperatingLeaseLi"/>
            <w:bookmarkEnd w:id="501"/>
          </w:p>
        </w:tc>
      </w:tr>
      <w:tr>
        <w:trPr/>
        <w:tc>
          <w:tcPr>
            <w:tcW w:w="2630" w:type="dxa"/>
            <w:tcBorders/>
            <w:vAlign w:val="center"/>
          </w:tcPr>
          <w:p>
            <w:pPr>
              <w:pStyle w:val="TableContents"/>
              <w:bidi w:val="0"/>
              <w:spacing w:before="0" w:after="283"/>
              <w:jc w:val="left"/>
              <w:rPr/>
            </w:pPr>
            <w:r>
              <w:rPr/>
              <w:t>2027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318</w:t>
            </w:r>
          </w:p>
        </w:tc>
        <w:tc>
          <w:tcPr>
            <w:tcW w:w="110" w:type="dxa"/>
            <w:tcBorders/>
            <w:vAlign w:val="center"/>
          </w:tcPr>
          <w:p>
            <w:pPr>
              <w:pStyle w:val="TableContents"/>
              <w:bidi w:val="0"/>
              <w:spacing w:before="0" w:after="283"/>
              <w:jc w:val="left"/>
              <w:rPr/>
            </w:pPr>
            <w:r>
              <w:rPr/>
              <w:t> </w:t>
            </w:r>
            <w:bookmarkStart w:id="502" w:name="xdx_405_eus-gaap--LesseeOperatingLeaseLi"/>
            <w:bookmarkEnd w:id="502"/>
          </w:p>
        </w:tc>
      </w:tr>
      <w:tr>
        <w:trPr/>
        <w:tc>
          <w:tcPr>
            <w:tcW w:w="263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284</w:t>
            </w:r>
          </w:p>
        </w:tc>
        <w:tc>
          <w:tcPr>
            <w:tcW w:w="110" w:type="dxa"/>
            <w:tcBorders/>
            <w:shd w:fill="CCEEFF" w:val="clear"/>
            <w:vAlign w:val="center"/>
          </w:tcPr>
          <w:p>
            <w:pPr>
              <w:pStyle w:val="TableContents"/>
              <w:bidi w:val="0"/>
              <w:spacing w:before="0" w:after="283"/>
              <w:jc w:val="left"/>
              <w:rPr/>
            </w:pPr>
            <w:r>
              <w:rPr/>
              <w:t> </w:t>
            </w:r>
            <w:bookmarkStart w:id="503" w:name="xdx_400_eus-gaap--LesseeOperatingLeaseLi"/>
            <w:bookmarkEnd w:id="503"/>
          </w:p>
        </w:tc>
      </w:tr>
      <w:tr>
        <w:trPr/>
        <w:tc>
          <w:tcPr>
            <w:tcW w:w="2630" w:type="dxa"/>
            <w:tcBorders/>
            <w:vAlign w:val="center"/>
          </w:tcPr>
          <w:p>
            <w:pPr>
              <w:pStyle w:val="TableContents"/>
              <w:bidi w:val="0"/>
              <w:spacing w:before="0" w:after="283"/>
              <w:jc w:val="left"/>
              <w:rPr/>
            </w:pPr>
            <w:r>
              <w:rPr/>
              <w:t>2029</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pPr>
            <w:r>
              <w:rPr/>
              <w:t>210</w:t>
            </w:r>
          </w:p>
        </w:tc>
        <w:tc>
          <w:tcPr>
            <w:tcW w:w="110" w:type="dxa"/>
            <w:tcBorders/>
            <w:vAlign w:val="center"/>
          </w:tcPr>
          <w:p>
            <w:pPr>
              <w:pStyle w:val="TableContents"/>
              <w:bidi w:val="0"/>
              <w:spacing w:before="0" w:after="283"/>
              <w:jc w:val="left"/>
              <w:rPr/>
            </w:pPr>
            <w:r>
              <w:rPr/>
              <w:t> </w:t>
            </w:r>
            <w:bookmarkStart w:id="504" w:name="xdx_407_eus-gaap--LesseeOperatingLeaseLi"/>
            <w:bookmarkEnd w:id="504"/>
          </w:p>
        </w:tc>
      </w:tr>
      <w:tr>
        <w:trPr/>
        <w:tc>
          <w:tcPr>
            <w:tcW w:w="2630" w:type="dxa"/>
            <w:tcBorders/>
            <w:shd w:fill="CCEEFF" w:val="clear"/>
            <w:vAlign w:val="center"/>
          </w:tcPr>
          <w:p>
            <w:pPr>
              <w:pStyle w:val="TableContents"/>
              <w:bidi w:val="0"/>
              <w:spacing w:before="0" w:after="283"/>
              <w:jc w:val="left"/>
              <w:rPr/>
            </w:pPr>
            <w:r>
              <w:rPr/>
              <w:t>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991</w:t>
            </w:r>
          </w:p>
        </w:tc>
        <w:tc>
          <w:tcPr>
            <w:tcW w:w="110" w:type="dxa"/>
            <w:tcBorders/>
            <w:shd w:fill="CCEEFF" w:val="clear"/>
            <w:vAlign w:val="center"/>
          </w:tcPr>
          <w:p>
            <w:pPr>
              <w:pStyle w:val="TableContents"/>
              <w:bidi w:val="0"/>
              <w:spacing w:before="0" w:after="283"/>
              <w:jc w:val="left"/>
              <w:rPr/>
            </w:pPr>
            <w:r>
              <w:rPr/>
              <w:t> </w:t>
            </w:r>
            <w:bookmarkStart w:id="505" w:name="xdx_40D_eus-gaap--LesseeOperatingLeaseLi"/>
            <w:bookmarkEnd w:id="505"/>
          </w:p>
        </w:tc>
      </w:tr>
      <w:tr>
        <w:trPr/>
        <w:tc>
          <w:tcPr>
            <w:tcW w:w="2630" w:type="dxa"/>
            <w:tcBorders/>
            <w:vAlign w:val="center"/>
          </w:tcPr>
          <w:p>
            <w:pPr>
              <w:pStyle w:val="TableContents"/>
              <w:bidi w:val="0"/>
              <w:spacing w:before="0" w:after="283"/>
              <w:jc w:val="left"/>
              <w:rPr/>
            </w:pPr>
            <w:r>
              <w:rPr/>
              <w:t>Less imputed interest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pPr>
            <w:r>
              <w:rPr/>
              <w:t>(115</w:t>
            </w:r>
          </w:p>
        </w:tc>
        <w:tc>
          <w:tcPr>
            <w:tcW w:w="110" w:type="dxa"/>
            <w:tcBorders/>
            <w:vAlign w:val="center"/>
          </w:tcPr>
          <w:p>
            <w:pPr>
              <w:pStyle w:val="TableContents"/>
              <w:bidi w:val="0"/>
              <w:spacing w:before="0" w:after="283"/>
              <w:jc w:val="left"/>
              <w:rPr/>
            </w:pPr>
            <w:r>
              <w:rPr/>
              <w:t>)</w:t>
            </w:r>
            <w:bookmarkStart w:id="506" w:name="xdx_403_eus-gaap--OperatingLeaseLiabilit"/>
            <w:bookmarkEnd w:id="506"/>
          </w:p>
        </w:tc>
      </w:tr>
      <w:tr>
        <w:trPr/>
        <w:tc>
          <w:tcPr>
            <w:tcW w:w="2630" w:type="dxa"/>
            <w:tcBorders/>
            <w:shd w:fill="CCEEFF" w:val="clear"/>
            <w:vAlign w:val="center"/>
          </w:tcPr>
          <w:p>
            <w:pPr>
              <w:pStyle w:val="TableContents"/>
              <w:bidi w:val="0"/>
              <w:spacing w:before="0" w:after="283"/>
              <w:jc w:val="left"/>
              <w:rPr/>
            </w:pPr>
            <w:r>
              <w:rPr/>
              <w:t>Total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876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07" w:name="xdx_8A4_zIVbOZYbTjC8"/>
      <w:bookmarkEnd w:id="50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08" w:name="xdx_893_ecustom--ScheduleOfWeightedAvera"/>
      <w:bookmarkEnd w:id="508"/>
      <w:r>
        <w:rPr>
          <w:rFonts w:ascii="Times New Roman;Times;Serif" w:hAnsi="Times New Roman;Times;Serif"/>
          <w:b w:val="false"/>
          <w:i w:val="false"/>
          <w:caps w:val="false"/>
          <w:smallCaps w:val="false"/>
          <w:sz w:val="20"/>
        </w:rPr>
        <w:t>The following table includes the weighted-average lease terms and discount rates for operating leases as of June 30, 2026:</w:t>
      </w:r>
    </w:p>
    <w:p>
      <w:pPr>
        <w:pStyle w:val="TextBody"/>
        <w:bidi w:val="0"/>
        <w:spacing w:before="0" w:after="0"/>
        <w:jc w:val="left"/>
        <w:rPr>
          <w:caps w:val="false"/>
          <w:smallCaps w:val="false"/>
        </w:rPr>
      </w:pPr>
      <w:r>
        <w:rPr>
          <w:caps w:val="false"/>
          <w:smallCaps w:val="false"/>
        </w:rPr>
        <w:t> </w:t>
      </w:r>
      <w:bookmarkStart w:id="509" w:name="xdx_8B6_zDohwgjX0jH3"/>
      <w:bookmarkEnd w:id="509"/>
      <w:r>
        <w:rPr>
          <w:rFonts w:ascii="Times New Roman;Times;Serif" w:hAnsi="Times New Roman;Times;Serif"/>
          <w:b w:val="false"/>
          <w:i w:val="false"/>
          <w:caps w:val="false"/>
          <w:smallCaps w:val="false"/>
          <w:sz w:val="20"/>
        </w:rPr>
        <w:t>SCHEDULE OF WEIGHTED-AVERAGE LEASE TERMS AND DISCOUNT RATES</w:t>
      </w:r>
    </w:p>
    <w:tbl>
      <w:tblPr>
        <w:tblW w:w="7065" w:type="dxa"/>
        <w:jc w:val="left"/>
        <w:tblInd w:w="0" w:type="dxa"/>
        <w:tblLayout w:type="fixed"/>
        <w:tblCellMar>
          <w:top w:w="0" w:type="dxa"/>
          <w:left w:w="0" w:type="dxa"/>
          <w:bottom w:w="0" w:type="dxa"/>
          <w:right w:w="0" w:type="dxa"/>
        </w:tblCellMar>
      </w:tblPr>
      <w:tblGrid>
        <w:gridCol w:w="6275"/>
        <w:gridCol w:w="60"/>
        <w:gridCol w:w="60"/>
        <w:gridCol w:w="440"/>
        <w:gridCol w:w="230"/>
      </w:tblGrid>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510" w:name="xdx_903_eus-gaap--LesseeOperatingLeaseRe"/>
            <w:bookmarkEnd w:id="510"/>
            <w:r>
              <w:rPr/>
              <w:t>3.14</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Operating leases weighted 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982_eus-gaap--OperatingLeaseWeighted"/>
            <w:bookmarkEnd w:id="511"/>
          </w:p>
        </w:tc>
        <w:tc>
          <w:tcPr>
            <w:tcW w:w="440" w:type="dxa"/>
            <w:tcBorders/>
            <w:vAlign w:val="center"/>
          </w:tcPr>
          <w:p>
            <w:pPr>
              <w:pStyle w:val="TableContents"/>
              <w:bidi w:val="0"/>
              <w:spacing w:before="0" w:after="283"/>
              <w:jc w:val="right"/>
              <w:rPr/>
            </w:pPr>
            <w:r>
              <w:rPr/>
              <w:t>8.05</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bookmarkStart w:id="512" w:name="xdx_8AE_zqoc3EHPtt9e"/>
      <w:bookmarkEnd w:id="51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cost for the three and six months ended June 30, 2026 was $</w:t>
      </w:r>
      <w:bookmarkStart w:id="513" w:name="xdx_90B_eus-gaap--LeaseCost_pn3n3_c20260"/>
      <w:bookmarkEnd w:id="513"/>
      <w:r>
        <w:rPr>
          <w:rFonts w:ascii="Times New Roman;Times;Serif" w:hAnsi="Times New Roman;Times;Serif"/>
          <w:b w:val="false"/>
          <w:i w:val="false"/>
          <w:caps w:val="false"/>
          <w:smallCaps w:val="false"/>
          <w:sz w:val="20"/>
        </w:rPr>
        <w:t>110 and $</w:t>
      </w:r>
      <w:bookmarkStart w:id="514" w:name="xdx_905_eus-gaap--LeaseCost_pn3n3_c20260"/>
      <w:bookmarkEnd w:id="514"/>
      <w:r>
        <w:rPr>
          <w:rFonts w:ascii="Times New Roman;Times;Serif" w:hAnsi="Times New Roman;Times;Serif"/>
          <w:b w:val="false"/>
          <w:i w:val="false"/>
          <w:caps w:val="false"/>
          <w:smallCaps w:val="false"/>
          <w:sz w:val="20"/>
        </w:rPr>
        <w:t>192, respectively. This cost is classified as operating lease expense in the Company’s consolidated statements of comprehensive loss for the three and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under operating lease agreements for the six months ended June 30, 2026 was $</w:t>
      </w:r>
      <w:bookmarkStart w:id="515" w:name="xdx_90E_eus-gaap--OperatingLeasePayments"/>
      <w:bookmarkEnd w:id="515"/>
      <w:r>
        <w:rPr>
          <w:rFonts w:ascii="Times New Roman;Times;Serif" w:hAnsi="Times New Roman;Times;Serif"/>
          <w:b w:val="false"/>
          <w:i w:val="false"/>
          <w:caps w:val="false"/>
          <w:smallCaps w:val="false"/>
          <w:sz w:val="20"/>
        </w:rPr>
        <w:t>195.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lease liabilities for the six months ended June 30, 2026 were $</w:t>
      </w:r>
      <w:bookmarkStart w:id="516" w:name="xdx_90F_eus-gaap--RightOfUseAssetObtaine"/>
      <w:bookmarkEnd w:id="516"/>
      <w:r>
        <w:rPr>
          <w:rFonts w:ascii="Times New Roman;Times;Serif" w:hAnsi="Times New Roman;Times;Serif"/>
          <w:b w:val="false"/>
          <w:i w:val="false"/>
          <w:caps w:val="false"/>
          <w:smallCaps w:val="false"/>
          <w:sz w:val="20"/>
        </w:rPr>
        <w:t>101.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17" w:name="xdx_801_eus-gaap--SubsequentEventsTextBl"/>
      <w:bookmarkEnd w:id="517"/>
      <w:r>
        <w:rPr>
          <w:rFonts w:ascii="Times New Roman;Times;Serif" w:hAnsi="Times New Roman;Times;Serif"/>
          <w:b/>
          <w:i w:val="false"/>
          <w:caps w:val="false"/>
          <w:smallCaps w:val="false"/>
          <w:sz w:val="20"/>
        </w:rPr>
        <w:t xml:space="preserve">NOTE 7 – </w:t>
      </w:r>
      <w:bookmarkStart w:id="518" w:name="xdx_826_zuKmvxKrQ5l8"/>
      <w:bookmarkEnd w:id="518"/>
      <w:r>
        <w:rPr>
          <w:rFonts w:ascii="Times New Roman;Times;Serif" w:hAnsi="Times New Roman;Times;Serif"/>
          <w:b/>
          <w:i w:val="false"/>
          <w:caps w:val="false"/>
          <w:smallCaps w:val="false"/>
          <w:sz w:val="20"/>
        </w:rPr>
        <w:t>SUBSEQUENT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Certain Patents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acquired certain patents and related technology and assets (collectively, the “Assets”) from Forge Medical Inc. (“Forge”), relating to Forge’s discontinued VasoStat Hemostasis device (“VasoStat”). VasoStat was designed to provide arterial compression at the puncture-site following catheterization procedures for the purpose of stopping bleeding and for use following radial and tibial catheterization procedures. The purchase price for the Assets is limited to potential royalties payable to Forge as, if and when the Company commercializes the Assets, based upon a formula set forth in the purchase agreement for the Assets, and in any event is limited to a maximum of $</w:t>
      </w:r>
      <w:bookmarkStart w:id="519" w:name="xdx_90E_eus-gaap--StockIssuedDuringPerio"/>
      <w:bookmarkEnd w:id="519"/>
      <w:r>
        <w:rPr>
          <w:rFonts w:ascii="Times New Roman;Times;Serif" w:hAnsi="Times New Roman;Times;Serif"/>
          <w:b w:val="false"/>
          <w:i w:val="false"/>
          <w:caps w:val="false"/>
          <w:smallCaps w:val="false"/>
          <w:sz w:val="20"/>
        </w:rPr>
        <w:t>5,000. The Company has the sole discretion in relation to the use (or non-use) of the Assets, including whether and/or to what extent to commercialize the assets; however, the Company has agreed to use commercially reasonable efforts to initiate commercialization of the Assets within two years (or in certain events, three years) of the acquisition. In the event the Company does not commercialize the Assets, they will be returned to Forge without any further consideration, payment, penalty or refund.</w:t>
      </w:r>
    </w:p>
    <w:p>
      <w:pPr>
        <w:pStyle w:val="TextBody"/>
        <w:bidi w:val="0"/>
        <w:spacing w:before="0" w:after="0"/>
        <w:jc w:val="both"/>
        <w:rPr>
          <w:caps w:val="false"/>
          <w:smallCaps w:val="false"/>
        </w:rPr>
      </w:pPr>
      <w:bookmarkStart w:id="520" w:name="xdx_818_zSBEWuZynnZ8"/>
      <w:bookmarkEnd w:id="52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1" w:name="a_006"/>
      <w:bookmarkEnd w:id="521"/>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2025.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 technological platform, we have developed the first-ever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FDA-cleared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features a unique compact, single use design with the capability to be operated remotely, reduce radiation exposure and physical strain to the physician, as well as the potential to eliminate the use of consumables.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 its current version includes the peripheral interventional radiology market, with future versions expected to include the Interventional Cardiology and Interventional Neuroradiology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 compact, mobile, disposable and remotely controlled – also may open the opportunity of expanding telerobotic interventions to patients with limited access to life-saving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has been designed to have the following attributes: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our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products or possibly other instruments that combines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A remote control designed to be intuitive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between separate and remote facilities in a coronary simulation model. The project assesses the feasibility of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to perform simulated cardiovascular interventional procedures across two sites within the Corewell Health™ system located 5 miles apart. The telesurgery feature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is still being evaluated and is not covered under the Company’s 510(k) clearance with the U.S. Food and Drug Administration (“FDA”).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we announced that the FDA has granted 510(k) clearance for the LIBERTY® Endovascular Robotic System and in November 2025, we announced the limited market release of the LIBERTY® Endovascular Robotic System to selected high procedure volume regions where we already experienced preliminary demand for the product. The Company’s full market release was at the Society of Interventional Radiology conference in April 2026.</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with an imaging system to create an autonomous robotic system for endovascular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 East Conflict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Israeli military operations at first in Gaza and then in Lebanon. Since that time, the hostilities have escalated into a regional armed conflict involving Iran, Israel, and the United States, including direct military operations and retaliatory actions, as well as engagement by Iran-supported groups across multiple fronts. These developments have included military activity in Syria following the collapse of the Assad regime and Israel’s subsequent military operations in Syria, intensified hostilities by and against the Houthis in Yemen, and continued exchanges involving Iranian-aligned forces throughout the region, including in Lebanon. This regional armed conflict and related hostilities remain ongoing as of the filing date of these consolidated financial statements. Although there have been temporary cease-fires and periods of reduced military activity from time to time, these have been limited in duration and scope and have not resulted in a sustained reduction in regional hostilities or overall security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operations and related matters,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may not be fully active and operational, as instructed by the relevant authorities or due to security conditions, workforce mobilization, or disruptions arising from expanded regional hostilities;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to international air travel and cargo transportation in and out of Israel, including the suspension or reduction of service by certain commercial airlines, flight cancellations, delays, increased costs, and logistical constraints;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policies in Gaza and the West Bank, the recent conflict with Iran and heightened regional geopolitical tensions;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and actual boycotts of Israel and Israeli-based companies, which may adversely affect the Company’s ability to do business in certain jurisdictions or with certain industry groups or potential customers, among others.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closely monitors how the military operations and related activities could adversely affect its anticipated milestones and its Israel-based activities to support future commercial, clinical and regulatory milestones, including the Company’s ability to import materials that are required to construct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devices and to ship them outside of Israel. In addition, the Company is also monitoring how negative international reaction to the events in Gaza, the West Bank and elsewhere in the Middle East or any further escalation of hostilities involving Iran could create a corresponding negative perception of companies based in Israel, which if broad enough, could negatively impact the Company’s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filing date of these consolidated financial statements, the Company has determined that there have not been any materially adverse effects on its business or operations as a result of the ongoing regional armed conflict involving Israel, Iran, and the United States. However, the Company continues to closely monitor the situation, as the current conflict remains fluid and subject to further escalation or expansion. Any material intensification or broadening of hostilities, including additional direct or indirect actions involving Iran or Iran-supported groups, the collapse of </w:t>
      </w:r>
      <w:r>
        <w:rPr>
          <w:rFonts w:ascii="Times New Roman;Times;Serif" w:hAnsi="Times New Roman;Times;Serif"/>
          <w:b w:val="false"/>
          <w:i w:val="false"/>
          <w:caps w:val="false"/>
          <w:smallCaps w:val="false"/>
          <w:strike/>
          <w:sz w:val="20"/>
        </w:rPr>
        <w:t>any</w:t>
      </w:r>
      <w:r>
        <w:rPr>
          <w:rFonts w:ascii="Times New Roman;Times;Serif" w:hAnsi="Times New Roman;Times;Serif"/>
          <w:b w:val="false"/>
          <w:i w:val="false"/>
          <w:caps w:val="false"/>
          <w:smallCaps w:val="false"/>
          <w:sz w:val="20"/>
        </w:rPr>
        <w:t xml:space="preserve"> cease-fire or de-escalation efforts, or other changes in the security environment could result in a material adverse effect on the ability of the Company’s Israeli office to support its clinical, regulatory, and other operational activities. The Company currently does not have any specific contingency plans in place in the event of any such escalation or change in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 of selling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to hospitals.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labor expenses, materials, and other related manufacturing costs associated with manufacturing units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calculated as net revenue less cost of goods sold. We calculate gross margin as gross profit divided by net revenue. Our gross margin has been and will continue to be affected by a variety of factors, including sales price and volume, costs associated with third-party manufacturing, direct labor costs, and costs of other operation activities. We expect our gross margin to increase over the long term with production scale and other planned manufacturing efficiencies.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general and administrative expenses consist primarily of the costs associated with salaries, benefits and related expenses, sales and marketing activities, professional fees for accounting, auditing, consulting, legal services, and insurance expenses. Microbot expects that its sales, general and administrative expenses will increase over the long-term, as it expands its operating and commercialization activities, maintains compliance with exchange listing and SEC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these potential increases will likely include management costs, the costs of building out marketing and sales teams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legal fees, accounting fees, insurance premiums and expenses associated with investor relations.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more likely than not that sufficient taxable income will not be available for the tax losses to be fully utilized in the future.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actual cost, determined using the first-in, first-out method, or net realizable value (“NRV”).</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primarily consist of raw materials ordered by us or in advance by our third-party contract manufacturer. Work in process and finished goods are produced by our third-party contract manufacturer and include direct labor and allocable overhead. We routinely evaluate the quantity and value of our inventories in light of current market conditions, and based on expiration of sterilization dates or defective inventory, and record write-downs when NRV is below cost.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began ramping up inventory manufacturing for units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intended for sale after receiving FDA clearance on September 4,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issued to investors as either equity-classified or liability-classified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Six Months Ended June 30, 2026 and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three- and six-month periods ended June 30, 2026 and 2025 (in thousands):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9"/>
        <w:gridCol w:w="60"/>
        <w:gridCol w:w="178"/>
        <w:gridCol w:w="811"/>
        <w:gridCol w:w="121"/>
        <w:gridCol w:w="75"/>
        <w:gridCol w:w="178"/>
        <w:gridCol w:w="811"/>
        <w:gridCol w:w="95"/>
        <w:gridCol w:w="60"/>
        <w:gridCol w:w="147"/>
        <w:gridCol w:w="668"/>
        <w:gridCol w:w="95"/>
        <w:gridCol w:w="60"/>
        <w:gridCol w:w="154"/>
        <w:gridCol w:w="706"/>
        <w:gridCol w:w="105"/>
        <w:gridCol w:w="66"/>
        <w:gridCol w:w="154"/>
        <w:gridCol w:w="706"/>
        <w:gridCol w:w="95"/>
        <w:gridCol w:w="60"/>
        <w:gridCol w:w="147"/>
        <w:gridCol w:w="668"/>
        <w:gridCol w:w="116"/>
      </w:tblGrid>
      <w:tr>
        <w:trPr/>
        <w:tc>
          <w:tcPr>
            <w:tcW w:w="3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1" w:type="dxa"/>
            <w:gridSpan w:val="6"/>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3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6" w:type="dxa"/>
            <w:tcBorders/>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241</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346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346</w:t>
            </w:r>
          </w:p>
        </w:tc>
        <w:tc>
          <w:tcPr>
            <w:tcW w:w="116" w:type="dxa"/>
            <w:tcBorders/>
            <w:shd w:fill="CCEEFF" w:val="clear"/>
            <w:vAlign w:val="center"/>
          </w:tcPr>
          <w:p>
            <w:pPr>
              <w:pStyle w:val="TableContents"/>
              <w:bidi w:val="0"/>
              <w:spacing w:before="0" w:after="283"/>
              <w:jc w:val="left"/>
              <w:rPr/>
            </w:pPr>
            <w:r>
              <w:rPr/>
              <w:t> </w:t>
            </w:r>
          </w:p>
        </w:tc>
      </w:tr>
      <w:tr>
        <w:trPr/>
        <w:tc>
          <w:tcPr>
            <w:tcW w:w="3869"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(884</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(884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(987</w:t>
            </w:r>
          </w:p>
        </w:tc>
        <w:tc>
          <w:tcPr>
            <w:tcW w:w="105"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(987</w:t>
            </w:r>
          </w:p>
        </w:tc>
        <w:tc>
          <w:tcPr>
            <w:tcW w:w="116" w:type="dxa"/>
            <w:tcBorders/>
            <w:vAlign w:val="center"/>
          </w:tcPr>
          <w:p>
            <w:pPr>
              <w:pStyle w:val="TableContents"/>
              <w:bidi w:val="0"/>
              <w:spacing w:before="0" w:after="283"/>
              <w:jc w:val="left"/>
              <w:rPr/>
            </w:pPr>
            <w:r>
              <w:rPr/>
              <w:t>)</w:t>
            </w:r>
          </w:p>
        </w:tc>
      </w:tr>
      <w:tr>
        <w:trPr/>
        <w:tc>
          <w:tcPr>
            <w:tcW w:w="3869" w:type="dxa"/>
            <w:tcBorders/>
            <w:shd w:fill="CCEEFF" w:val="clear"/>
            <w:vAlign w:val="center"/>
          </w:tcPr>
          <w:p>
            <w:pPr>
              <w:pStyle w:val="TableContents"/>
              <w:bidi w:val="0"/>
              <w:spacing w:before="0" w:after="283"/>
              <w:jc w:val="left"/>
              <w:rPr/>
            </w:pPr>
            <w:r>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(1,861</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(2,111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(3,154</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(3,570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416</w:t>
            </w:r>
          </w:p>
        </w:tc>
        <w:tc>
          <w:tcPr>
            <w:tcW w:w="116" w:type="dxa"/>
            <w:tcBorders/>
            <w:shd w:fill="CCEEFF" w:val="clear"/>
            <w:vAlign w:val="center"/>
          </w:tcPr>
          <w:p>
            <w:pPr>
              <w:pStyle w:val="TableContents"/>
              <w:bidi w:val="0"/>
              <w:spacing w:before="0" w:after="283"/>
              <w:jc w:val="left"/>
              <w:rPr/>
            </w:pPr>
            <w:r>
              <w:rPr/>
              <w:t> </w:t>
            </w:r>
          </w:p>
        </w:tc>
      </w:tr>
      <w:tr>
        <w:trPr/>
        <w:tc>
          <w:tcPr>
            <w:tcW w:w="3869" w:type="dxa"/>
            <w:tcBorders/>
            <w:vAlign w:val="center"/>
          </w:tcPr>
          <w:p>
            <w:pPr>
              <w:pStyle w:val="TableContents"/>
              <w:bidi w:val="0"/>
              <w:spacing w:before="0" w:after="283"/>
              <w:jc w:val="left"/>
              <w:rPr/>
            </w:pPr>
            <w:r>
              <w:rPr/>
              <w:t>Sales, general and administrative expenses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(3,684</w:t>
            </w:r>
          </w:p>
        </w:tc>
        <w:tc>
          <w:tcPr>
            <w:tcW w:w="121"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(1,612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(2,072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(6,713</w:t>
            </w:r>
          </w:p>
        </w:tc>
        <w:tc>
          <w:tcPr>
            <w:tcW w:w="105"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(3,174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(3,539</w:t>
            </w:r>
          </w:p>
        </w:tc>
        <w:tc>
          <w:tcPr>
            <w:tcW w:w="116" w:type="dxa"/>
            <w:tcBorders/>
            <w:vAlign w:val="center"/>
          </w:tcPr>
          <w:p>
            <w:pPr>
              <w:pStyle w:val="TableContents"/>
              <w:bidi w:val="0"/>
              <w:spacing w:before="0" w:after="283"/>
              <w:jc w:val="left"/>
              <w:rPr/>
            </w:pPr>
            <w:r>
              <w:rPr/>
              <w:t>)</w:t>
            </w:r>
          </w:p>
        </w:tc>
      </w:tr>
      <w:tr>
        <w:trPr/>
        <w:tc>
          <w:tcPr>
            <w:tcW w:w="3869"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(316</w:t>
            </w:r>
          </w:p>
        </w:tc>
        <w:tc>
          <w:tcPr>
            <w:tcW w:w="116" w:type="dxa"/>
            <w:tcBorders/>
            <w:shd w:fill="CCEEFF" w:val="clear"/>
            <w:vAlign w:val="center"/>
          </w:tcPr>
          <w:p>
            <w:pPr>
              <w:pStyle w:val="TableContents"/>
              <w:bidi w:val="0"/>
              <w:spacing w:before="0" w:after="283"/>
              <w:jc w:val="left"/>
              <w:rPr/>
            </w:pPr>
            <w:r>
              <w:rPr/>
              <w:t>)</w:t>
            </w:r>
          </w:p>
        </w:tc>
      </w:tr>
      <w:tr>
        <w:trPr/>
        <w:tc>
          <w:tcPr>
            <w:tcW w:w="3869" w:type="dxa"/>
            <w:tcBorders/>
            <w:vAlign w:val="center"/>
          </w:tcPr>
          <w:p>
            <w:pPr>
              <w:pStyle w:val="TableContents"/>
              <w:bidi w:val="0"/>
              <w:spacing w:before="0" w:after="283"/>
              <w:jc w:val="left"/>
              <w:rPr/>
            </w:pPr>
            <w:r>
              <w:rPr/>
              <w:t>Financing income, net</w:t>
            </w:r>
          </w:p>
        </w:tc>
        <w:tc>
          <w:tcPr>
            <w:tcW w:w="6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tcMar>
              <w:bottom w:w="28" w:type="dxa"/>
            </w:tcMar>
            <w:vAlign w:val="center"/>
          </w:tcPr>
          <w:p>
            <w:pPr>
              <w:pStyle w:val="TableContents"/>
              <w:bidi w:val="0"/>
              <w:spacing w:before="0" w:after="283"/>
              <w:jc w:val="right"/>
              <w:rPr/>
            </w:pPr>
            <w:r>
              <w:rPr/>
              <w:t>561</w:t>
            </w:r>
          </w:p>
        </w:tc>
        <w:tc>
          <w:tcPr>
            <w:tcW w:w="1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tcMar>
              <w:bottom w:w="28" w:type="dxa"/>
            </w:tcMar>
            <w:vAlign w:val="center"/>
          </w:tcPr>
          <w:p>
            <w:pPr>
              <w:pStyle w:val="TableContents"/>
              <w:bidi w:val="0"/>
              <w:spacing w:before="0" w:after="283"/>
              <w:jc w:val="right"/>
              <w:rPr/>
            </w:pPr>
            <w:r>
              <w:rPr/>
              <w:t>223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tcMar>
              <w:bottom w:w="28" w:type="dxa"/>
            </w:tcMar>
            <w:vAlign w:val="center"/>
          </w:tcPr>
          <w:p>
            <w:pPr>
              <w:pStyle w:val="TableContents"/>
              <w:bidi w:val="0"/>
              <w:spacing w:before="0" w:after="283"/>
              <w:jc w:val="right"/>
              <w:rPr/>
            </w:pPr>
            <w:r>
              <w:rPr/>
              <w:t>338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tcMar>
              <w:bottom w:w="28" w:type="dxa"/>
            </w:tcMar>
            <w:vAlign w:val="center"/>
          </w:tcPr>
          <w:p>
            <w:pPr>
              <w:pStyle w:val="TableContents"/>
              <w:bidi w:val="0"/>
              <w:spacing w:before="0" w:after="283"/>
              <w:jc w:val="right"/>
              <w:rPr/>
            </w:pPr>
            <w:r>
              <w:rPr/>
              <w:t>1,210</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bottom w:val="single" w:sz="8" w:space="0" w:color="000000"/>
            </w:tcBorders>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tcMar>
              <w:bottom w:w="28" w:type="dxa"/>
            </w:tcMar>
            <w:vAlign w:val="center"/>
          </w:tcPr>
          <w:p>
            <w:pPr>
              <w:pStyle w:val="TableContents"/>
              <w:bidi w:val="0"/>
              <w:spacing w:before="0" w:after="283"/>
              <w:jc w:val="right"/>
              <w:rPr/>
            </w:pPr>
            <w:r>
              <w:rPr/>
              <w:t>327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tcMar>
              <w:bottom w:w="28" w:type="dxa"/>
            </w:tcMar>
            <w:vAlign w:val="center"/>
          </w:tcPr>
          <w:p>
            <w:pPr>
              <w:pStyle w:val="TableContents"/>
              <w:bidi w:val="0"/>
              <w:spacing w:before="0" w:after="283"/>
              <w:jc w:val="right"/>
              <w:rPr/>
            </w:pPr>
            <w:r>
              <w:rPr/>
              <w:t>883</w:t>
            </w:r>
          </w:p>
        </w:tc>
        <w:tc>
          <w:tcPr>
            <w:tcW w:w="116" w:type="dxa"/>
            <w:tcBorders/>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283"/>
              <w:jc w:val="right"/>
              <w:rPr/>
            </w:pPr>
            <w:r>
              <w:rPr/>
              <w:t>(5,627</w:t>
            </w:r>
          </w:p>
        </w:tc>
        <w:tc>
          <w:tcPr>
            <w:tcW w:w="121"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(2,127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jc w:val="right"/>
              <w:rPr/>
            </w:pPr>
            <w:r>
              <w:rPr/>
              <w:t>(9,298</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jc w:val="right"/>
              <w:rPr/>
            </w:pPr>
            <w:r>
              <w:rPr/>
              <w:t>(6,101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(3,197</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Revenues. </w:t>
      </w:r>
      <w:r>
        <w:rPr>
          <w:rFonts w:ascii="Times New Roman;Times;Serif" w:hAnsi="Times New Roman;Times;Serif"/>
          <w:b w:val="false"/>
          <w:i w:val="false"/>
          <w:caps w:val="false"/>
          <w:smallCaps w:val="false"/>
          <w:sz w:val="20"/>
        </w:rPr>
        <w:t>During the three- and six-month periods ended June 30, 2026, the Company generated revenue exclusively from the sale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 its limited market release and full market release to certain hospital customers, compared with no revenue in the corresponding period of 2025 as the Company had not yet commenced commercial operations. The Company transitioned from the limited market release to the full market release in April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the Company launched the limited market release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where it strategically introduced the product into select high procedure volume regions. This limited market release continued through March 31, 2026, generating $105,000 in revenues during the three-month period then ended. In April 2026, the Company transitioned from the limited market release to the full market release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is pursuing broader commercial adoption to grow its customer base and revenues. The Company generated $241,000 in revenues during the three-month period ended on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revenues. </w:t>
      </w:r>
      <w:r>
        <w:rPr>
          <w:rFonts w:ascii="Times New Roman;Times;Serif" w:hAnsi="Times New Roman;Times;Serif"/>
          <w:b w:val="false"/>
          <w:i w:val="false"/>
          <w:caps w:val="false"/>
          <w:smallCaps w:val="false"/>
          <w:sz w:val="20"/>
        </w:rPr>
        <w:t>Cost of revenues consists primarily of direct and indirect costs related to the manufacturing of units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for commercial sale, including personnel costs, third-party manufacturing costs, packaging services, freight, storage costs, royalties, and write down of inventories. The Company did not recognize cost of revenues for the three- and six-month periods ended June 30, 2025 as it had not yet commenced commercial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in the three-month period ended June 30, 2026 compared to the three-month period ended March 31, 2026 primarily due to the following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certain units sold included inventory that had been manufactured prior to FDA clearance, for which those costs were included in R&amp;D expenses in prior periods. Cost of revenues increased during the second quarter primarily due to higher manufacturing labor costs and increased customer concessions.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cost of revenues per system to decrease over time as production volumes grow. In addition, we are implementing several cost-reduction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The decrease for the three and six months ended June 30, 2026, compared to the same periods in 2025, was primarily due to an increase in government grants recognized as a reduction of research and development expenses in 2026. Additionally, manufacturing costs were capitalized into inventory in 2026, by contrast, during 2025, prior to the Company’s receipt of FDA clearance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 September 2025, such manufacturing costs were expensed as incurred within research and development expense. This decrease was partially offset by an increase in payroll and related expenses due to new hires, salary increases and bonuses, increase in patent expenses, and increase in allocation expenses due to increase in office maintenance.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General and Administrative Expenses</w:t>
      </w:r>
      <w:r>
        <w:rPr>
          <w:rFonts w:ascii="Times New Roman;Times;Serif" w:hAnsi="Times New Roman;Times;Serif"/>
          <w:b w:val="false"/>
          <w:i w:val="false"/>
          <w:caps w:val="false"/>
          <w:smallCaps w:val="false"/>
          <w:sz w:val="20"/>
        </w:rPr>
        <w:t>. The increase for the three and six months ended June 30, 2026, compared to the same periods in 2025, was primarily due to an increase in payroll and related expenses mainly due to new hiring of sales and marketing personnel, salary increases and bonuses, as well as increases in legal and other general operating expenses related to commercialization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w:t>
      </w:r>
      <w:r>
        <w:rPr>
          <w:rFonts w:ascii="Times New Roman;Times;Serif" w:hAnsi="Times New Roman;Times;Serif"/>
          <w:b w:val="false"/>
          <w:i w:val="false"/>
          <w:caps w:val="false"/>
          <w:smallCaps w:val="false"/>
          <w:sz w:val="20"/>
        </w:rPr>
        <w:t>. During the six months ended June 30, 2025, the Company received a judgment in the amount of approximately $316,000 net of legal fees and expenses. This judgment is non-recurring and no similar payments or other income was paid to the Company during the three or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w:t>
      </w:r>
      <w:r>
        <w:rPr>
          <w:rFonts w:ascii="Times New Roman;Times;Serif" w:hAnsi="Times New Roman;Times;Serif"/>
          <w:b w:val="false"/>
          <w:i w:val="false"/>
          <w:caps w:val="false"/>
          <w:smallCaps w:val="false"/>
          <w:sz w:val="20"/>
        </w:rPr>
        <w:t>. The increase for the three and six months ended June 30, 2026, compared to the same periods in 2025, was primarily due to interest income from short-term investments resulting from the capital raised in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has commenced recognition of revenues, in the amount of $346,000. The Company cannot make any assurances of continuing to generate revenues, or of generating significant revenues, in the future. Microbot has incurred losses since inception and negative cash flows from operating activities for all periods presented. As of June 30, 2026, Microbot had a net working capital of approximately $67.3 million, consisting primarily of cash and cash equivalents and marketable securities. This compares to net working capital of approximately $76.4 million as of December 31, 2025. Microbot anticipates that it will continue to incur net losses for the foreseeable future as it continues to ramp up manufacturing and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continues research and development efforts with respect to other uses for it and other potential technologies and products, and continues to incur costs associated with being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June 30, 2026, Microbot has raised cash proceeds of approximately $168.3 million and incurred a total cumulative loss of approximately $113.4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and through June 30, 2026, we raised the following amounts: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approximately $1.1 million in January 2025, before fees and expenses of $65,452, through our At-the-Market facility;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an aggregate of approximately $15.6 million in gross proceeds, before fees and expenses of approximately $1.4 million, from institutional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approximately $916,000 in gross proceeds from the exercise of outstanding preferred investment options, before fees and expenses of $64,164;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an aggregate of approximately $13.0 million in gross proceeds, before fees and expenses of approximately $1.2 million, from the sale of our securities to institutional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approximately $2.3 million in gross proceeds from the exercise of outstanding Series E and Series F preferred investment options, before fees and expenses of $161,000;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approximately $1.4 million in gross proceeds from the exercise of outstanding Series F preferred investment options, before fees and expenses of $98,000;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approximately $1.3 million in gross proceeds from the exercise of outstanding Series E, F and G preferred investment options, before fees and expenses of approximately $93,000.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approximately $12.2 million in gross proceeds from the exercise of outstanding Series F and G preferred investment options, before fees and expenses of approximately $706,000.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approximately $15.2 million in gross proceeds from the exercise of outstanding Series E, G, H, I preferred investment options, before fees and expenses of approximately $1.1 million.</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approximately $472,500 in gross proceeds from the exercise of outstanding Series H preferred investment options, before fees and expenses of $33,075;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approximately $895,744 in gross proceeds from the exercise of placement agent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an aggregate of approximately $26.5 million in gross proceeds from an inducement transaction exercise of outstanding preferred investment options, before fees and expenses of approximately $2.2 million, from institutional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an aggregate of approximately $2.8 million in gross proceeds from the inducement transaction exercise of outstanding preferred investment options, before fees and expenses of approximately $223,000, from institutional investors: and</w:t>
            </w:r>
          </w:p>
          <w:p>
            <w:pPr>
              <w:pStyle w:val="TableContents"/>
              <w:bidi w:val="0"/>
              <w:spacing w:before="0" w:after="0"/>
              <w:ind w:left="36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the Company issued 6,757 shares of its common stock pursuant to the Company’s At the Market facility, for total gross proceeds of approximately $17,021 before deducting sales agent commissions and other offering expenses of $781.</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June 30, 2026, in the total amount of approximately $2.5 million. This amount includes amounts received of approximately $518,000, which are a portion of an additional grant from the IIA in the amount of approximately NIS 2.2 million (approximately $673,000) approved on July 15, 2025,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Microbot received grants from the Ministry of Economy of the State of Israel in the amount of approximately $50,000,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in the U.S. market. In relation to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up to the grant amount plus interest.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available, Microbot intends to continue to raise capital through future public and private issuances of debt and/or equity securities, including pursuant to our At-the-Market facility described above and upon any cash exercise of its outstanding investment options by the holders of such options, to fund its commercial activities and working capital and general business purposes, including to continue to build a commercial and sales team in the U.S. and elsewhere as part of its full market release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which commenced in April 2026. The capital raises from issuances of convertible debt and equity securities could result in additional dilution to Microbot’s shareholders. In addition, to the extent Microbot is determined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Quarterly Report on Form 10-Q, management believes we have sufficient funds for our operations for in excess of one year.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bidi w:val="0"/>
        <w:spacing w:before="0" w:after="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6020"/>
        <w:gridCol w:w="60"/>
        <w:gridCol w:w="140"/>
        <w:gridCol w:w="755"/>
        <w:gridCol w:w="95"/>
        <w:gridCol w:w="60"/>
        <w:gridCol w:w="140"/>
        <w:gridCol w:w="755"/>
        <w:gridCol w:w="95"/>
        <w:gridCol w:w="60"/>
        <w:gridCol w:w="140"/>
        <w:gridCol w:w="755"/>
        <w:gridCol w:w="11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(10,042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(5,447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(4,595</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vAlign w:val="center"/>
          </w:tcPr>
          <w:p>
            <w:pPr>
              <w:pStyle w:val="TableContents"/>
              <w:bidi w:val="0"/>
              <w:spacing w:before="0" w:after="283"/>
              <w:jc w:val="left"/>
              <w:rPr/>
            </w:pPr>
            <w:r>
              <w:rPr/>
              <w:t>Net cash provided by (used in)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(26,139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35,607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602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(32,542</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(1,530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net cash flows used in operating activities during the six months ended 2026 compared with the same period in 2025 was primarily from an increase in manufacturing expenses and sales and marketing expenses relating to the release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as we shift to commercialization of the product and due to an increase in salary and bonus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of net cash flows provided by investing activities was primarily due to purchases of marketable securities during the six-month period ended June 30, 2025, compared to mostly sales of marketable securities during the comparable period in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flows provided by financing activities was due to issuances of common stock and warrants during the first quarter of 2025, with no similar activity during the comparable period in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2" w:name="a_007"/>
      <w:bookmarkEnd w:id="52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June 30, 2026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23" w:name="a_008"/>
      <w:bookmarkEnd w:id="523"/>
      <w:r>
        <w:rPr>
          <w:rFonts w:ascii="Times New Roman;Times;Serif" w:hAnsi="Times New Roman;Times;Serif"/>
          <w:b/>
          <w:i w:val="false"/>
          <w:caps w:val="false"/>
          <w:smallCaps w:val="false"/>
          <w:sz w:val="20"/>
        </w:rPr>
        <w:t>Item 4. Controls and Procedures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2026. Based on that review and evaluation, the Chief Executive Officer and Chief Financial Officer, along with the management of the Company, have determined that as of June 30, 2026,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4" w:name="a_009"/>
      <w:bookmarkEnd w:id="524"/>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5" w:name="a_010"/>
      <w:bookmarkEnd w:id="525"/>
      <w:r>
        <w:rPr>
          <w:rFonts w:ascii="Times New Roman;Times;Serif" w:hAnsi="Times New Roman;Times;Serif"/>
          <w:b/>
          <w:i w:val="false"/>
          <w:caps w:val="false"/>
          <w:smallCaps w:val="false"/>
          <w:sz w:val="20"/>
        </w:rPr>
        <w:t>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3G to the unaudited financial statements for the fiscal quarter ended June 30, 2026, earlier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6" w:name="a_011"/>
      <w:bookmarkEnd w:id="526"/>
      <w:r>
        <w:rPr>
          <w:rFonts w:ascii="Times New Roman;Times;Serif" w:hAnsi="Times New Roman;Times;Serif"/>
          <w:b/>
          <w:i w:val="false"/>
          <w:caps w:val="false"/>
          <w:smallCaps w:val="false"/>
          <w:sz w:val="20"/>
        </w:rPr>
        <w:t>Item 1A.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7" w:name="a_012"/>
      <w:bookmarkEnd w:id="52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any share repurchase activity for the three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previously disclosed in the Company’s Current Reports on Form 8-K filed from time to time with the Securities and Exchange Commission, the Company did not have any unregistered sales of its equity securities during the three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8" w:name="a_013"/>
      <w:bookmarkEnd w:id="528"/>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9" w:name="a_014"/>
      <w:bookmarkEnd w:id="529"/>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0" w:name="a_015"/>
      <w:bookmarkEnd w:id="530"/>
      <w:r>
        <w:rPr>
          <w:rFonts w:ascii="Times New Roman;Times;Serif" w:hAnsi="Times New Roman;Times;Serif"/>
          <w:b/>
          <w:i w:val="false"/>
          <w:caps w:val="false"/>
          <w:smallCaps w:val="false"/>
          <w:sz w:val="20"/>
        </w:rPr>
        <w:t>Item 5.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 director or officer, as defined in Rule 16a-1(f) under the Securities Exchange Act of 1934, as amended, of the Company </w:t>
      </w:r>
      <w:bookmarkStart w:id="531" w:name="xdx_904_eecd--NonRule10b51ArrAdoptedFlag"/>
      <w:bookmarkStart w:id="532" w:name="xdx_90E_eecd--Rule10b51ArrAdoptedFlag_db"/>
      <w:bookmarkEnd w:id="531"/>
      <w:bookmarkEnd w:id="532"/>
      <w:r>
        <w:rPr>
          <w:rFonts w:ascii="Times New Roman;Times;Serif" w:hAnsi="Times New Roman;Times;Serif"/>
          <w:b w:val="false"/>
          <w:i w:val="false"/>
          <w:caps w:val="false"/>
          <w:smallCaps w:val="false"/>
          <w:sz w:val="20"/>
        </w:rPr>
        <w:t xml:space="preserve">adopted or </w:t>
      </w:r>
      <w:bookmarkStart w:id="533" w:name="xdx_90D_eecd--NonRule10b51ArrTrmntdFlag_"/>
      <w:bookmarkStart w:id="534" w:name="xdx_905_eecd--Rule10b51ArrTrmntdFlag_dbF"/>
      <w:bookmarkEnd w:id="533"/>
      <w:bookmarkEnd w:id="534"/>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5" w:name="a_016"/>
      <w:bookmarkEnd w:id="535"/>
      <w:r>
        <w:rPr>
          <w:rFonts w:ascii="Times New Roman;Times;Serif" w:hAnsi="Times New Roman;Times;Serif"/>
          <w:b/>
          <w:i w:val="false"/>
          <w:caps w:val="false"/>
          <w:smallCaps w:val="false"/>
          <w:sz w:val="20"/>
        </w:rPr>
        <w:t>Item 6.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9896"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9896"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9896"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9896"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9896"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9896"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p>
        </w:tc>
        <w:tc>
          <w:tcPr>
            <w:tcW w:w="9896"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
        <w:gridCol w:w="9535"/>
      </w:tblGrid>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p>
        </w:tc>
        <w:tc>
          <w:tcPr>
            <w:tcW w:w="953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3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to Section 2.5 of the Amended and Restated By-Laws (incorporated by reference to the Company’s Current Report on Form 8-K filed on April 14,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35"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Certificate of Incorporation (incorporated by reference to the Registrant’s Current Report on Form 8-K filed on June 11,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35"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Description of the Company’s Securities (incorporated by reference to the Registrant’s Quarterly Report on Form 10-Q for the fiscal quarter ended June 30,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9535"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p>
        </w:tc>
        <w:tc>
          <w:tcPr>
            <w:tcW w:w="953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p>
        </w:tc>
        <w:tc>
          <w:tcPr>
            <w:tcW w:w="953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953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953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953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p>
        </w:tc>
        <w:tc>
          <w:tcPr>
            <w:tcW w:w="953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3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53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3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53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53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3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3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953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953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53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3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953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3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Harel Gadot, Chairman, President and Chief Executive Officer</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3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Rachel Vaknin, Chief Financial Officer</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3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Harel Gadot, Chairman, President and Chief Executive Officer, pursuant to 18 U.S.C. Section 1350, as adopted pursuant to Section 906 of the Sarbanes-Oxley Act of 2002</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3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Rachel Vaknin, Chief Financial Officer, pursuant to 18 U.S.C. Section 1350, as adopted pursuant to Section 906 of the Sarbanes-Oxley Act of 2002</w:t>
              </w:r>
            </w:hyperlink>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 The instance document does not appear in the Interactive Data File because its XBRL tags are embedded within the Inline XBRL document.</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6" w:name="a_017"/>
      <w:bookmarkEnd w:id="536"/>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37" w:name="ex31-1.htm"/>
      <w:bookmarkStart w:id="538" w:name="ksex311"/>
      <w:bookmarkEnd w:id="537"/>
      <w:bookmarkEnd w:id="5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980"/>
        <w:gridCol w:w="75"/>
      </w:tblGrid>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39" w:name="ex31-2.htm"/>
      <w:bookmarkStart w:id="540" w:name="ksex312"/>
      <w:bookmarkEnd w:id="539"/>
      <w:bookmarkEnd w:id="5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center"/>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541" w:name="ex32-1.htm"/>
      <w:bookmarkStart w:id="542" w:name="ksex321"/>
      <w:bookmarkEnd w:id="541"/>
      <w:bookmarkEnd w:id="54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2026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70"/>
        <w:gridCol w:w="398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543" w:name="ex32-2.htm"/>
      <w:bookmarkStart w:id="544" w:name="ksex322"/>
      <w:bookmarkEnd w:id="543"/>
      <w:bookmarkEnd w:id="54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Chief Financial Officer of Microbot Medical Inc., hereby certify, pursuant to 18 U.S.C. Section 1350, as adopted pursuant to Section 906 of the Sarbanes-Oxley Act of 2002, that to my knowledge, the quarterly report on Form 10-Q for the period ending June 30, 2026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970"/>
        <w:gridCol w:w="3650"/>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19312516682077/d161430dex21.htm" TargetMode="External"/><Relationship Id="rId3" Type="http://schemas.openxmlformats.org/officeDocument/2006/relationships/hyperlink" Target="https://www.sec.gov/Archives/edgar/data/883975/000095013407005808/f27726exv3w1.htm" TargetMode="External"/><Relationship Id="rId4" Type="http://schemas.openxmlformats.org/officeDocument/2006/relationships/hyperlink" Target="https://www.sec.gov/Archives/edgar/data/883975/000119312516779597/d296933dex31.htm" TargetMode="External"/><Relationship Id="rId5" Type="http://schemas.openxmlformats.org/officeDocument/2006/relationships/hyperlink" Target="https://www.sec.gov/Archives/edgar/data/883975/000149315218012872/ex3-1.htm" TargetMode="External"/><Relationship Id="rId6" Type="http://schemas.openxmlformats.org/officeDocument/2006/relationships/hyperlink" Target="https://www.sec.gov/Archives/edgar/data/883975/000129993316002374/exhibit1.htm" TargetMode="External"/><Relationship Id="rId7" Type="http://schemas.openxmlformats.org/officeDocument/2006/relationships/hyperlink" Target="https://www.sec.gov/Archives/edgar/data/883975/000149315218017395/ex3-1.htm" TargetMode="External"/><Relationship Id="rId8" Type="http://schemas.openxmlformats.org/officeDocument/2006/relationships/hyperlink" Target="https://www.sec.gov/Archives/edgar/data/883975/000149315219013998/ex3-1.htm" TargetMode="External"/><Relationship Id="rId9" Type="http://schemas.openxmlformats.org/officeDocument/2006/relationships/hyperlink" Target="https://www.sec.gov/Archives/edgar/data/883975/000149315221010347/ex3-1.htm" TargetMode="External"/><Relationship Id="rId10" Type="http://schemas.openxmlformats.org/officeDocument/2006/relationships/hyperlink" Target="https://www.sec.gov/Archives/edgar/data/883975/000164117225004707/ex3-1.htm" TargetMode="External"/><Relationship Id="rId11" Type="http://schemas.openxmlformats.org/officeDocument/2006/relationships/hyperlink" Target="https://www.sec.gov/Archives/edgar/data/883975/000164117225014622/ex3-1.htm" TargetMode="External"/><Relationship Id="rId12" Type="http://schemas.openxmlformats.org/officeDocument/2006/relationships/hyperlink" Target="https://www.sec.gov/Archives/edgar/data/883975/000164117225023206/ex4-1.htm" TargetMode="External"/><Relationship Id="rId13" Type="http://schemas.openxmlformats.org/officeDocument/2006/relationships/hyperlink" Target="https://www.sec.gov/Archives/edgar/data/883975/000149315222029541/ex4-2.htm" TargetMode="External"/><Relationship Id="rId14" Type="http://schemas.openxmlformats.org/officeDocument/2006/relationships/hyperlink" Target="https://www.sec.gov/Archives/edgar/data/883975/000149315222029541/ex4-4.htm" TargetMode="External"/><Relationship Id="rId15" Type="http://schemas.openxmlformats.org/officeDocument/2006/relationships/hyperlink" Target="https://www.sec.gov/Archives/edgar/data/883975/000149315223018718/ex4-1.htm" TargetMode="External"/><Relationship Id="rId16" Type="http://schemas.openxmlformats.org/officeDocument/2006/relationships/hyperlink" Target="https://www.sec.gov/Archives/edgar/data/883975/000149315223018932/ex4-2.htm" TargetMode="External"/><Relationship Id="rId17" Type="http://schemas.openxmlformats.org/officeDocument/2006/relationships/hyperlink" Target="https://www.sec.gov/Archives/edgar/data/883975/000149315223018932/ex10-2.htm" TargetMode="External"/><Relationship Id="rId18" Type="http://schemas.openxmlformats.org/officeDocument/2006/relationships/hyperlink" Target="https://www.sec.gov/Archives/edgar/data/883975/000149315223020309/ex4-1.htm" TargetMode="External"/><Relationship Id="rId19" Type="http://schemas.openxmlformats.org/officeDocument/2006/relationships/hyperlink" Target="https://www.sec.gov/Archives/edgar/data/883975/000149315223020309/ex4-2.htm" TargetMode="External"/><Relationship Id="rId20" Type="http://schemas.openxmlformats.org/officeDocument/2006/relationships/hyperlink" Target="https://www.sec.gov/Archives/edgar/data/883975/000149315223022814/ex4-1.htm" TargetMode="External"/><Relationship Id="rId21" Type="http://schemas.openxmlformats.org/officeDocument/2006/relationships/hyperlink" Target="https://www.sec.gov/Archives/edgar/data/883975/000149315223022814/ex4-2.htm" TargetMode="External"/><Relationship Id="rId22" Type="http://schemas.openxmlformats.org/officeDocument/2006/relationships/hyperlink" Target="https://www.sec.gov/Archives/edgar/data/883975/000149315224000109/ex4-1.htm" TargetMode="External"/><Relationship Id="rId23" Type="http://schemas.openxmlformats.org/officeDocument/2006/relationships/hyperlink" Target="https://www.sec.gov/Archives/edgar/data/883975/000149315224000109/ex4-2.htm" TargetMode="External"/><Relationship Id="rId24" Type="http://schemas.openxmlformats.org/officeDocument/2006/relationships/hyperlink" Target="https://www.sec.gov/Archives/edgar/data/883975/000149315224022560/ex4-1.htm" TargetMode="External"/><Relationship Id="rId25" Type="http://schemas.openxmlformats.org/officeDocument/2006/relationships/hyperlink" Target="https://www.sec.gov/Archives/edgar/data/883975/000149315224022560/ex4-2.htm" TargetMode="External"/><Relationship Id="rId26" Type="http://schemas.openxmlformats.org/officeDocument/2006/relationships/hyperlink" Target="https://www.sec.gov/Archives/edgar/data/883975/000149315225001133/ex4-1.htm" TargetMode="External"/><Relationship Id="rId27" Type="http://schemas.openxmlformats.org/officeDocument/2006/relationships/hyperlink" Target="https://www.sec.gov/Archives/edgar/data/883975/000149315225001133/ex4-2.htm" TargetMode="External"/><Relationship Id="rId28" Type="http://schemas.openxmlformats.org/officeDocument/2006/relationships/hyperlink" Target="https://www.sec.gov/Archives/edgar/data/883975/000149315225001559/ex4-1.htm" TargetMode="External"/><Relationship Id="rId29" Type="http://schemas.openxmlformats.org/officeDocument/2006/relationships/hyperlink" Target="https://www.sec.gov/Archives/edgar/data/883975/000149315225001559/ex4-2.htm" TargetMode="External"/><Relationship Id="rId30" Type="http://schemas.openxmlformats.org/officeDocument/2006/relationships/hyperlink" Target="https://www.sec.gov/Archives/edgar/data/883975/000149315225005820/ex4-1.htm" TargetMode="External"/><Relationship Id="rId31" Type="http://schemas.openxmlformats.org/officeDocument/2006/relationships/hyperlink" Target="https://www.sec.gov/Archives/edgar/data/883975/000149315225005820/ex4-2.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17305</Words>
  <Characters>95754</Characters>
  <CharactersWithSpaces>113863</CharactersWithSpaces>
  <Paragraphs>3929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