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102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October 23,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C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A_edei--EntityFileNumber_c20261023"/>
            <w:bookmarkEnd w:id="6"/>
            <w:r>
              <w:rPr>
                <w:rFonts w:ascii="Times New Roman;Times;Serif" w:hAnsi="Times New Roman;Times;Serif"/>
                <w:b/>
                <w:i w:val="false"/>
                <w:caps w:val="false"/>
                <w:smallCaps w:val="false"/>
                <w:sz w:val="20"/>
              </w:rPr>
              <w:t>000-19871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E_edei--EntityTaxIdentificationNum"/>
            <w:bookmarkEnd w:id="7"/>
            <w:r>
              <w:rPr>
                <w:rFonts w:ascii="Times New Roman;Times;Serif" w:hAnsi="Times New Roman;Times;Serif"/>
                <w:b/>
                <w:i w:val="false"/>
                <w:caps w:val="false"/>
                <w:smallCaps w:val="false"/>
                <w:sz w:val="20"/>
              </w:rPr>
              <w:t>94-3078125</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175 Derby St., </w:t>
      </w:r>
      <w:bookmarkStart w:id="9" w:name="xdx_90C_edei--EntityAddressAddressLine2_"/>
      <w:bookmarkEnd w:id="9"/>
      <w:r>
        <w:rPr>
          <w:rFonts w:ascii="Times New Roman;Times;Serif" w:hAnsi="Times New Roman;Times;Serif"/>
          <w:b/>
          <w:i w:val="false"/>
          <w:caps w:val="false"/>
          <w:smallCaps w:val="false"/>
          <w:sz w:val="20"/>
        </w:rPr>
        <w:t>Bld. 27</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2_edei--EntityAddressCityOrTown_c2"/>
      <w:bookmarkEnd w:id="10"/>
      <w:r>
        <w:rPr>
          <w:rFonts w:ascii="Times New Roman;Times;Serif" w:hAnsi="Times New Roman;Times;Serif"/>
          <w:b/>
          <w:i w:val="false"/>
          <w:caps w:val="false"/>
          <w:smallCaps w:val="false"/>
          <w:sz w:val="20"/>
        </w:rPr>
        <w:t xml:space="preserve">Hingham, </w:t>
      </w:r>
      <w:bookmarkStart w:id="11" w:name="xdx_902_edei--EntityAddressStateOrProvin"/>
      <w:bookmarkEnd w:id="11"/>
      <w:r>
        <w:rPr>
          <w:rFonts w:ascii="Times New Roman;Times;Serif" w:hAnsi="Times New Roman;Times;Serif"/>
          <w:b/>
          <w:i w:val="false"/>
          <w:caps w:val="false"/>
          <w:smallCaps w:val="false"/>
          <w:sz w:val="20"/>
        </w:rPr>
        <w:t xml:space="preserve">MA </w:t>
      </w:r>
      <w:bookmarkStart w:id="12" w:name="xdx_905_edei--EntityAddressPostalZipCode"/>
      <w:bookmarkEnd w:id="12"/>
      <w:r>
        <w:rPr>
          <w:rFonts w:ascii="Times New Roman;Times;Serif" w:hAnsi="Times New Roman;Times;Serif"/>
          <w:b/>
          <w:i w:val="false"/>
          <w:caps w:val="false"/>
          <w:smallCaps w:val="false"/>
          <w:sz w:val="20"/>
        </w:rPr>
        <w:t>02043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E_edei--CityAreaCode_c20261023__20"/>
      <w:bookmarkEnd w:id="13"/>
      <w:r>
        <w:rPr>
          <w:rFonts w:ascii="Times New Roman;Times;Serif" w:hAnsi="Times New Roman;Times;Serif"/>
          <w:b/>
          <w:i w:val="false"/>
          <w:caps w:val="false"/>
          <w:smallCaps w:val="false"/>
          <w:sz w:val="20"/>
        </w:rPr>
        <w:t xml:space="preserve">(781) </w:t>
      </w:r>
      <w:bookmarkStart w:id="14" w:name="xdx_90C_edei--LocalPhoneNumber_c20261023"/>
      <w:bookmarkEnd w:id="14"/>
      <w:r>
        <w:rPr>
          <w:rFonts w:ascii="Times New Roman;Times;Serif" w:hAnsi="Times New Roman;Times;Serif"/>
          <w:b/>
          <w:i w:val="false"/>
          <w:caps w:val="false"/>
          <w:smallCaps w:val="false"/>
          <w:sz w:val="20"/>
        </w:rPr>
        <w:t>875-3605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72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4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B_edei--SolicitingMaterial_c202610"/>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5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5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085" w:type="dxa"/>
        <w:jc w:val="left"/>
        <w:tblInd w:w="0" w:type="dxa"/>
        <w:tblLayout w:type="fixed"/>
        <w:tblCellMar>
          <w:top w:w="0" w:type="dxa"/>
          <w:left w:w="0" w:type="dxa"/>
          <w:bottom w:w="28" w:type="dxa"/>
          <w:right w:w="0" w:type="dxa"/>
        </w:tblCellMar>
      </w:tblPr>
      <w:tblGrid>
        <w:gridCol w:w="2645"/>
        <w:gridCol w:w="60"/>
        <w:gridCol w:w="1610"/>
        <w:gridCol w:w="60"/>
        <w:gridCol w:w="3710"/>
      </w:tblGrid>
      <w:tr>
        <w:trPr/>
        <w:tc>
          <w:tcPr>
            <w:tcW w:w="26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6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E_edei--Security12bTitle_c20261023"/>
            <w:bookmarkEnd w:id="19"/>
            <w:r>
              <w:rPr>
                <w:rFonts w:ascii="Times New Roman;Times;Serif" w:hAnsi="Times New Roman;Times;Serif"/>
                <w:b w:val="false"/>
                <w:i w:val="false"/>
                <w:caps w:val="false"/>
                <w:smallCaps w:val="false"/>
                <w:sz w:val="20"/>
              </w:rPr>
              <w:t>Common Stock, $0.01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3_edei--TradingSymbol_c20261023__2"/>
            <w:bookmarkEnd w:id="20"/>
            <w:r>
              <w:rPr>
                <w:rFonts w:ascii="Times New Roman;Times;Serif" w:hAnsi="Times New Roman;Times;Serif"/>
                <w:b w:val="false"/>
                <w:i w:val="false"/>
                <w:caps w:val="false"/>
                <w:smallCaps w:val="false"/>
                <w:sz w:val="20"/>
              </w:rPr>
              <w:t>MBOT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4_edei--SecurityExchangeName_c2026"/>
            <w:bookmarkEnd w:id="21"/>
            <w:r>
              <w:rPr>
                <w:rFonts w:ascii="Times New Roman;Times;Serif" w:hAnsi="Times New Roman;Times;Serif"/>
                <w:b w:val="false"/>
                <w:i w:val="false"/>
                <w:caps w:val="false"/>
                <w:smallCaps w:val="false"/>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5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23, 2026, Microbot Medical Inc. (the “Company”) disseminated a press release announcing that it is attending the SIR EDGE 2026 conference in Louisville, Kentucky, taking place from October 25-27, 2026. A copy of the press release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is being furnished and shall not be deemed to be “filed” for purposes of Section 18 of the Securities Exchange Act of 1934, as amended (the “Exchange Act”), or otherwise subject to the liabilities of that section, nor shall it be incorporated by reference into any filing under the Securities Act of 1933, as amended, or the Exchange Act, regardless of any general incorporation language in such filing. By furnishing the information in this Current Report on Form 8-K and Exhibit 99.1, the Company is making no admission as to the materiality of any information in this Item 7.01 or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270" w:type="dxa"/>
        <w:jc w:val="left"/>
        <w:tblInd w:w="0" w:type="dxa"/>
        <w:tblLayout w:type="fixed"/>
        <w:tblCellMar>
          <w:top w:w="0" w:type="dxa"/>
          <w:left w:w="0" w:type="dxa"/>
          <w:bottom w:w="28" w:type="dxa"/>
          <w:right w:w="0" w:type="dxa"/>
        </w:tblCellMar>
      </w:tblPr>
      <w:tblGrid>
        <w:gridCol w:w="725"/>
        <w:gridCol w:w="60"/>
        <w:gridCol w:w="6485"/>
      </w:tblGrid>
      <w:tr>
        <w:trPr/>
        <w:tc>
          <w:tcPr>
            <w:tcW w:w="725"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of Microbot Medical Inc., dated October 23, 2026</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545"/>
        <w:gridCol w:w="3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and Chairman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23,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609850" cy="1104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09850" cy="11049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Attending Key Medical Conference to Engage with Decisionmakers as it Continues to Expand Presence Across the 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Opportunity to Connect with Hospital Administrators and Physicians to Foster Expanded Adoption of the LIBERTY System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HINGHAM, Mass., October 23, 2026 — Microbot Medical Inc. (Nasdaq: MBOT), developer and distributor of the innovative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today announced that key executives and members of the Company’s commercial team will be attending the SIR EDGE 2026 conference in Louisville, Kentucky, providing an opportunity for the Company to engage with prospective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SIR EDGE 2026 is designed to provide interventional radiologists with practical, case-based education focused on real-world clinical decision-making and patient care.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 to SIR EDGE 2026, the Association of Chiefs of Interventional Radiology (ACIR) Annual Fall Conference will be taking place, which the Company believes provides it with a valuable opportunity to engage directly with decisionmakers at hospitals and health networks from across the U.S. as the Company expands its national sales footprint and continues to engage with Value Analysis Committees (VACs) at hospitals and healthcare networks.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believe these opportunities to engage with hundreds of potential users are invaluable, and we have benefited from prior similar events to generate new leads, many of which we continue to manage through the sales funnel, including the VAC process,” commented Harel Gadot, Chairman, CEO and President. “This event allows us to meet jointly with physicians and administrators, share the positive user experience and feedback that we have already received, and take the next step of setting up demonstrations to initiate the sales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LIBERTY is the only FDA-cleared, single-use, remotely operated robotic system for peripheral endovascular procedures, and it is designed for precise vascular navigation while aiming to reduce radiation exposure and physical strain.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Microbot Medical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Medical Inc. (NASDAQ: MBOT) is a commercial stage medical device company focused on transforming endovascular procedures through advanced robotic technology. Microbot’s LIBERTY</w:t>
      </w:r>
      <w:r>
        <w:rPr>
          <w:rFonts w:ascii="Times New Roman;Times;Serif" w:hAnsi="Times New Roman;Times;Serif"/>
          <w:b w:val="false"/>
          <w:i w:val="false"/>
          <w:caps w:val="false"/>
          <w:smallCaps w:val="false"/>
          <w:position w:val="7"/>
          <w:sz w:val="16"/>
          <w:sz w:val="20"/>
          <w:shd w:fill="FFFFFF" w:val="clear"/>
        </w:rPr>
        <w:t>®</w:t>
      </w:r>
      <w:r>
        <w:rPr>
          <w:rFonts w:ascii="Times New Roman;Times;Serif" w:hAnsi="Times New Roman;Times;Serif"/>
          <w:b w:val="false"/>
          <w:i w:val="false"/>
          <w:caps w:val="false"/>
          <w:smallCaps w:val="false"/>
          <w:sz w:val="20"/>
        </w:rPr>
        <w:t xml:space="preserve"> Endovascular Robotic System is the first single-use, remotely operated robotic solution designed for precision, efficiency and safety. Backed by a strong intellectual property portfolio and a commitment to innovation, Microbot is driving the future of endovascular care.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Learn more at </w:t>
      </w:r>
      <w:r>
        <w:rPr>
          <w:rFonts w:ascii="Times New Roman;Times;Serif" w:hAnsi="Times New Roman;Times;Serif"/>
          <w:b w:val="false"/>
          <w:i w:val="false"/>
          <w:caps w:val="false"/>
          <w:smallCaps w:val="false"/>
          <w:sz w:val="20"/>
          <w:u w:val="single"/>
        </w:rPr>
        <w:t>www.microbotmedical.com</w:t>
      </w:r>
      <w:r>
        <w:rPr>
          <w:rFonts w:ascii="Times New Roman;Times;Serif" w:hAnsi="Times New Roman;Times;Serif"/>
          <w:b w:val="false"/>
          <w:i w:val="false"/>
          <w:caps w:val="false"/>
          <w:smallCaps w:val="false"/>
          <w:sz w:val="20"/>
        </w:rPr>
        <w:t xml:space="preserve"> and connect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relating to future financial and/or operating results, future adoption of products, future growth in research, technology, clinical development, commercialization and potential opportunities for Microbot Medical Inc. and its subsidiaries, including the expected benefits of the Company’s participation in industry conferences and the conversion of sales leads,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 without limitation, market conditions, risks inherent in the commercialization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and in the development of future versions of or applications for the system, market acceptance of the system, the length and outcome of hospital Value Analysis Committee and purchasing processes, and the Company’s ability to convert sales leads into orders, uncertainty in the results of regulatory pathways and regulatory approvals, uncertainty resulting from political, social and geopolitical conditions, disruptions resulting from new and ongoing hostilities between Israel and the Palestinians, Iran and other neighboring countries, and maintenance of intellectual property rights. Additional information on risks facing Microbot Medical</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can be found under the heading “Risk Factors” in Microbot Medical’s periodic reports filed with the Securities and Exchange Commission (SEC), which are available on the SEC’s web 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Microbot Medical</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disclaims any intent or obligation to update these forward-looking statements,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IR@microbotmedical.com</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Media@microbotmedical.com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1225</Words>
  <Characters>7228</Characters>
  <CharactersWithSpaces>8458</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