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25, 2026, Microbot Medical Inc. issued an press release announcing that it has won the Innovative Start-Up Award from Surgical Robotics Technology.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Wins Surgical Robotics Industry Award for the LIBERTY® Endovascular Robotic System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Innovative Start-Up award </w:t>
      </w:r>
      <w:r>
        <w:rPr>
          <w:rFonts w:ascii="Times New Roman" w:cs="Times New Roman" w:eastAsia="Times New Roman" w:hAnsi="Times New Roman"/>
          <w:sz w:val="18"/>
          <w:szCs w:val="18"/>
          <w:color w:val="auto"/>
        </w:rPr>
        <w:t>recognizes</w:t>
      </w:r>
      <w:r>
        <w:rPr>
          <w:rFonts w:ascii="Times New Roman" w:cs="Times New Roman" w:eastAsia="Times New Roman" w:hAnsi="Times New Roman"/>
          <w:sz w:val="18"/>
          <w:szCs w:val="18"/>
          <w:i w:val="1"/>
          <w:iCs w:val="1"/>
          <w:color w:val="auto"/>
        </w:rPr>
        <w:t xml:space="preserve"> LIBERTY as a highly innovative, ground-breaking product with potentially wide range and/or substantial benefit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June 25,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 has won the Innovative Start-Up Award from Surgical Robotics Technology (SRT), which recognizes companies with outstanding technological and commercial progress through highly innovative, groundbreaking technologies with the potential for broad healthcare</w:t>
      </w:r>
    </w:p>
    <w:p>
      <w:pPr>
        <w:jc w:val="both"/>
        <w:spacing w:after="0" w:line="209" w:lineRule="auto"/>
        <w:rPr>
          <w:sz w:val="20"/>
          <w:szCs w:val="20"/>
          <w:color w:val="auto"/>
        </w:rPr>
      </w:pPr>
      <w:r>
        <w:rPr>
          <w:rFonts w:ascii="Times New Roman" w:cs="Times New Roman" w:eastAsia="Times New Roman" w:hAnsi="Times New Roman"/>
          <w:sz w:val="18"/>
          <w:szCs w:val="18"/>
          <w:color w:val="auto"/>
        </w:rPr>
        <w:t>impact.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SRT, a leading platform for surgical robotics news, together with QNX, recognizes outstanding organizations, individuals, and technologies across the surgical robotics sector.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LIBERTY is the only FDA-cleared, single-use, remotely operated robotic system for peripheral endovascular procedures, and it is designed for precise vascular navigation while aiming to enhance efficiency and reduce radiation exposure and physical strain. The Company has experienced continued adoption and increased utilization of the system since the Full Market Release in early April, with the LIBERTY System now being used at leading academic centers across NY, PA, FL, GA, MA, MI, and NC. The award further validates LIBERTY’s growing role in advancing robotic-assisted endovascular care and expanding access to innovative procedural technologies.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Medical exemplifies the kind of pioneering spirit that the Innovative Start-up Award was created to recognize,” commented Josef de Pfeiffer, CEO &amp; Founder of Surgical Robotics Technology. “Through its commitment to advancing the field through innovation, technological excellence, and a clear vision for the future of healthcare, the company has demonstrated the qualities that make it a worthy recipient of this award. On behalf of Surgical Robotics Technology, I am delighted to congratulate the Microbot Medical team on this well-deserved achievement.”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behalf of our entire Company, I am honored that Microbot Medical has won the Innovative Start-up Award for the 2026 Surgical Robotics Industry Awards,” commented Harel Gadot, CEO, President and Chairman. “This award recognizes organizations developing novel technologies that have the potential to transform healthcare through innovation, and we believe the LIBERTY System exemplifies that mission. As the only FDA-cleared, single-use, remotely operated robotic system for peripheral endovascular procedures, LIBERTY is helping redefine what is possible in endovascular intervention while also establishing a new category of surgical robotics.”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day one, we set out to challenge conventional thinking, build a practical and accessible technology, and bring meaningful innovation to the front lines of healthcare. I am deeply grateful to our employees, clinical partners, shareholders, and supporters whose commitment and belief in our journey have made this achievement possible. As we look ahead, we remain focused on expanding adoption of the LIBERTY System, executing our commercial strategy, advancing innovation, and delivering solutions that help shape the future of endovascular care,” concluded Mr.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w:t>
      </w:r>
    </w:p>
    <w:p>
      <w:pPr>
        <w:jc w:val="both"/>
        <w:spacing w:after="0" w:line="209" w:lineRule="auto"/>
        <w:rPr>
          <w:sz w:val="20"/>
          <w:szCs w:val="20"/>
          <w:color w:val="auto"/>
        </w:rPr>
      </w:pPr>
      <w:r>
        <w:rPr>
          <w:rFonts w:ascii="Times New Roman" w:cs="Times New Roman" w:eastAsia="Times New Roman" w:hAnsi="Times New Roman"/>
          <w:sz w:val="18"/>
          <w:szCs w:val="18"/>
          <w:color w:val="auto"/>
        </w:rPr>
        <w:t>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https://www.surgicalroboticstechnology.com/surgical-robotics-industry-awards/categories/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2026-06-25T07:32:16Z</dcterms:created>
  <dcterms:modified xsi:type="dcterms:W3CDTF">2026-06-25T07:32:16Z</dcterms:modified>
</cp:coreProperties>
</file>