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811"/>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175 Derby St., </w:t>
      </w:r>
      <w:bookmarkStart w:id="9" w:name="xdx_90E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Hingham, </w:t>
      </w:r>
      <w:bookmarkStart w:id="11" w:name="xdx_907_edei--EntityAddressStateOrProvin"/>
      <w:bookmarkEnd w:id="11"/>
      <w:r>
        <w:rPr>
          <w:rFonts w:ascii="Times New Roman;Times;Serif" w:hAnsi="Times New Roman;Times;Serif"/>
          <w:b/>
          <w:i w:val="false"/>
          <w:caps w:val="false"/>
          <w:smallCaps w:val="false"/>
          <w:sz w:val="20"/>
        </w:rPr>
        <w:t xml:space="preserve">MA </w:t>
      </w:r>
      <w:bookmarkStart w:id="12" w:name="xdx_909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F_edei--CityAreaCode_c20260811__20"/>
      <w:bookmarkEnd w:id="13"/>
      <w:r>
        <w:rPr>
          <w:rFonts w:ascii="Times New Roman;Times;Serif" w:hAnsi="Times New Roman;Times;Serif"/>
          <w:b/>
          <w:i w:val="false"/>
          <w:caps w:val="false"/>
          <w:smallCaps w:val="false"/>
          <w:sz w:val="20"/>
        </w:rPr>
        <w:t xml:space="preserve">(781) </w:t>
      </w:r>
      <w:bookmarkStart w:id="14" w:name="xdx_908_edei--LocalPhoneNumber_c20260811"/>
      <w:bookmarkEnd w:id="14"/>
      <w:r>
        <w:rPr>
          <w:rFonts w:ascii="Times New Roman;Times;Serif" w:hAnsi="Times New Roman;Times;Serif"/>
          <w:b/>
          <w:i w:val="false"/>
          <w:caps w:val="false"/>
          <w:smallCaps w:val="false"/>
          <w:sz w:val="20"/>
        </w:rPr>
        <w:t>875-3605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811"/>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11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Microbot Medical Inc. (the “Company”) disseminated a press release announcing that it has filed its Quarterly Report on Form 10-Q for the fiscal quarter ended June 30, 2026, and providing highlights of the Company’s second quarter ended June 30, 2026.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attached exhibit, is being furnished, and shall not be deemed to be filed for purposes of Section 18 of the Securities Exchange Act of 1934, as amended (the “Exchange Act”), or otherwise subject to the liabilities of that section, nor shall it be incorporated by reference into any filings under the Securities Act of 1933, as amended, or the Exchange Act, regardless of any incorporation by reference language of such filing. By furnishing the information in this Current Report on Form 8-K (“Form 8-K”) and the attached exhibit, the Company is making no admission as to the materiality of any information in this Form 8-K or the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98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1104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Files 10-Q, Reports Significant Revenue and Customer Growth During the 2026 Second Quarter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increased by more than 100% over prior fiscal quarter, driven by repeat orders, expanded utilization among existing customers, and the acquisition of new customers since the Full Market Release in mid-April.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added new customers in Q3 while expanding into new states and sites of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HINGHAM, Mass., August 11, 2026</w:t>
      </w:r>
      <w:r>
        <w:rPr>
          <w:rFonts w:ascii="Times New Roman;Times;Serif" w:hAnsi="Times New Roman;Times;Serif"/>
          <w:b w:val="false"/>
          <w:i w:val="false"/>
          <w:caps w:val="false"/>
          <w:smallCaps w:val="false"/>
          <w:sz w:val="20"/>
        </w:rPr>
        <w:t xml:space="preserve"> — Microbot Medical Inc. (Nasdaq: MBOT), developer and distributor of the innovative LIBERTY® Endovascular Robotic System, announced that it has filed its Quarterly Report on Form 10-Q for the fiscal quarter ended June 30, 2026 with the Securities and Exchange Commission (SEC). As disclosed in its July 7, 2026 press release, the Company generated greater than 100% revenue and customer growth compared to the first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Commenced the Full Market Release (FMR) of the LIBERTY System during The Society of Interventional Radiology (SIR) Annual Scientific Meeting in April 2026.</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health systems in Massachusetts, North Carolina, Michigan, and Pennsylvania adopted the LIBERTY System, joining Georgia, Florida, and New York, which adopted the LIBERTY System during the Limited Market Release (LMR).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the number of hospital sites using the LIBERTY System across existing customer health systems.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Procedure volume increased in the second quarter ended June 30, 2026, compared to the first quarter ended March 31, 2026, as customers expanded deployment to additional sites and migrated more users to the LIBERTY System.</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LIBERTY System was used across a variety of procedure types, including Prostatic Artery Embolization (PAE), Y-90 Radioembolization, Genicular Artery Embolization (GAE) and Uterine Artery Embolization (UAE), showcasing the versatility of the LIBERTY System.</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was up more than 100% compared to the first quarter of 2026.</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Having successfully completed the Limited Market Release in April 2026, and with its associated costs partially being accounted for in the second quarter of 2026, coupled with other cost reduction activities which are being implemented, the Company believes it will substantially reduce its cost of revenue which increased in the three-month period ended June 30, 2026 compared to the three-month period ended March 31, 2026.</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Entered into an agreement with Lovell Government Services Inc. to serve federal healthcare systems, enabling access to more than 2,000 government healthcare facilities.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customer satisfaction is reported and reflected in repeat customer orders for the LIBERTY System as more sites and users are trained on the system.</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Broadened its sales footprint to eight sales territories compared to four sales territories at the end of March 2026, allowing the Company to be on track to have 12 territories across the U.S. by year-end.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Entered into an agreement with Sanmina and is in the process of establishing a second manufacturing site to expand production capacity to support anticipated demand in the U.S. and international markets, as well as future cost reduction initiatives.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Achieved a significant regulatory milestone as Israel became the second jurisdiction — and the first outside of the U.S. — to grant marketing clearance for the LIBERTY System.</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Awarded the 2026 Innovative Start-Up Award from Surgical Robotics Technology (SRT), which recognizes companies with outstanding technological and commercial progress through highly innovative, groundbreaking technologies.</w:t>
            </w:r>
            <w:r>
              <w:rPr>
                <w:rFonts w:ascii="Times New Roman;Times;Serif" w:hAnsi="Times New Roman;Times;Serif"/>
                <w:position w:val="7"/>
                <w:sz w:val="16"/>
                <w:sz w:val="20"/>
              </w:rPr>
              <w:t>1</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achieved a number of key milestones during the second quarter and first half of 2026, including the successful transition from our Limited Market Release to the Full Market Release earlier in the quarter,” commented Harel Gadot, CEO, President and Chairman. “This resulted in the high growth we saw in both adoption and utilization, leading to a major increase in revenue from the prior period. We are continuing to enhance our commercial team, expand our sales footprint, and to work closely with existing accounts to expand U.S. sites and increase utilization. At the same time, we continue to implement cost reduction initiatives to lower the cost of revenues. Internationally, we continue to establish a global infrastructure and implement our commercial readiness plans in Europe in anticipation of obtaining a CE Mark.”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LIBERTY is the only FDA-cleared, single-use, remotely operated robotic system for peripheral endovascular procedures, and it is designed for precise vascular navigation while aiming to reduce radiation exposure and physical strain.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www.microbotmedical.com and connect on LinkedIn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www.sec.gov.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Media@microbotmedical.com</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170"/>
        <w:gridCol w:w="74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https://www.surgicalroboticstechnology.com/surgical-robotics-industry-awards/categories/</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1599</Words>
  <Characters>9299</Characters>
  <CharactersWithSpaces>10933</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